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jc w:val="center"/>
        <w:rPr>
          <w:rFonts w:hint="eastAsia" w:ascii="宋体" w:hAnsi="宋体"/>
          <w:color w:val="auto"/>
          <w:kern w:val="0"/>
          <w:highlight w:val="none"/>
          <w:lang w:eastAsia="zh-CN"/>
        </w:rPr>
      </w:pPr>
      <w:bookmarkStart w:id="2" w:name="_GoBack"/>
      <w:bookmarkStart w:id="0" w:name="_Toc53444849"/>
      <w:r>
        <w:rPr>
          <w:rFonts w:hint="eastAsia" w:ascii="宋体" w:hAnsi="宋体"/>
          <w:color w:val="auto"/>
          <w:kern w:val="0"/>
          <w:highlight w:val="none"/>
          <w:lang w:eastAsia="zh-CN"/>
        </w:rPr>
        <w:t>采购合同</w:t>
      </w:r>
      <w:bookmarkEnd w:id="0"/>
    </w:p>
    <w:p>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采购人（甲方）：</w:t>
      </w:r>
      <w:r>
        <w:rPr>
          <w:rFonts w:hint="eastAsia" w:ascii="宋体" w:hAnsi="宋体" w:cs="宋体"/>
          <w:color w:val="auto"/>
          <w:sz w:val="24"/>
          <w:highlight w:val="none"/>
          <w:lang w:val="en-US" w:eastAsia="zh-CN"/>
        </w:rPr>
        <w:t xml:space="preserve">唐山市卫生健康委员会          </w:t>
      </w:r>
      <w:r>
        <w:rPr>
          <w:rFonts w:hint="eastAsia" w:ascii="宋体" w:hAnsi="宋体" w:cs="宋体"/>
          <w:color w:val="auto"/>
          <w:sz w:val="24"/>
          <w:highlight w:val="none"/>
        </w:rPr>
        <w:t>签订时间：</w:t>
      </w:r>
      <w:r>
        <w:rPr>
          <w:rFonts w:hint="eastAsia" w:ascii="宋体" w:hAnsi="宋体" w:cs="宋体"/>
          <w:color w:val="auto"/>
          <w:sz w:val="24"/>
          <w:highlight w:val="none"/>
          <w:lang w:val="en-US" w:eastAsia="zh-CN"/>
        </w:rPr>
        <w:t xml:space="preserve"> 年 月 日</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中标人（乙方）：</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合同签定地：河北.唐山</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根据甲方实施的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（采购项目）</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项目的采购结果，按照《中华人民共和国政府采购法》、《中华人民共和国政府采购法实施条例》、《中华人民共和国</w:t>
      </w:r>
      <w:r>
        <w:rPr>
          <w:rFonts w:hint="eastAsia" w:ascii="宋体" w:hAnsi="宋体" w:cs="宋体"/>
          <w:color w:val="auto"/>
          <w:sz w:val="24"/>
          <w:highlight w:val="none"/>
          <w:lang w:eastAsia="zh-CN"/>
        </w:rPr>
        <w:t>民法典</w:t>
      </w:r>
      <w:r>
        <w:rPr>
          <w:rFonts w:hint="eastAsia" w:ascii="宋体" w:hAnsi="宋体" w:cs="宋体"/>
          <w:color w:val="auto"/>
          <w:sz w:val="24"/>
          <w:highlight w:val="none"/>
        </w:rPr>
        <w:t>》等规定，经甲乙双方协商，本着平等互利和诚实信用的原则，双方一致同意，签订本合同。</w:t>
      </w:r>
    </w:p>
    <w:p>
      <w:pPr>
        <w:spacing w:line="360" w:lineRule="auto"/>
        <w:ind w:left="482"/>
        <w:rPr>
          <w:rFonts w:hint="eastAsia" w:ascii="宋体" w:hAnsi="宋体" w:cs="宋体"/>
          <w:color w:val="auto"/>
          <w:sz w:val="24"/>
          <w:highlight w:val="none"/>
        </w:rPr>
      </w:pPr>
      <w:r>
        <w:rPr>
          <w:rFonts w:hint="eastAsia" w:ascii="宋体" w:hAnsi="宋体" w:cs="宋体"/>
          <w:color w:val="auto"/>
          <w:sz w:val="24"/>
          <w:highlight w:val="none"/>
        </w:rPr>
        <w:t>第一条 货物名称、数量、价格条款：</w:t>
      </w:r>
    </w:p>
    <w:tbl>
      <w:tblPr>
        <w:tblStyle w:val="7"/>
        <w:tblpPr w:leftFromText="180" w:rightFromText="180" w:vertAnchor="text" w:horzAnchor="margin" w:tblpY="99"/>
        <w:tblW w:w="98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1409"/>
        <w:gridCol w:w="1766"/>
        <w:gridCol w:w="1417"/>
        <w:gridCol w:w="920"/>
        <w:gridCol w:w="1282"/>
        <w:gridCol w:w="1423"/>
        <w:gridCol w:w="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838" w:type="dxa"/>
            <w:noWrap w:val="0"/>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序号</w:t>
            </w:r>
          </w:p>
        </w:tc>
        <w:tc>
          <w:tcPr>
            <w:tcW w:w="1409" w:type="dxa"/>
            <w:noWrap w:val="0"/>
            <w:vAlign w:val="center"/>
          </w:tcPr>
          <w:p>
            <w:pPr>
              <w:jc w:val="center"/>
              <w:rPr>
                <w:rFonts w:hint="eastAsia" w:ascii="宋体" w:hAnsi="宋体" w:cs="宋体"/>
                <w:color w:val="auto"/>
                <w:sz w:val="24"/>
                <w:highlight w:val="none"/>
                <w:u w:val="single"/>
              </w:rPr>
            </w:pPr>
            <w:r>
              <w:rPr>
                <w:rFonts w:hint="eastAsia" w:ascii="宋体" w:hAnsi="宋体" w:cs="宋体"/>
                <w:color w:val="auto"/>
                <w:sz w:val="24"/>
                <w:highlight w:val="none"/>
              </w:rPr>
              <w:t>货物名称</w:t>
            </w:r>
          </w:p>
        </w:tc>
        <w:tc>
          <w:tcPr>
            <w:tcW w:w="1766" w:type="dxa"/>
            <w:noWrap w:val="0"/>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规格、型号</w:t>
            </w:r>
          </w:p>
        </w:tc>
        <w:tc>
          <w:tcPr>
            <w:tcW w:w="1417" w:type="dxa"/>
            <w:noWrap w:val="0"/>
            <w:vAlign w:val="center"/>
          </w:tcPr>
          <w:p>
            <w:pPr>
              <w:widowControl/>
              <w:shd w:val="clear" w:color="auto" w:fill="FFFFFF"/>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生产厂家</w:t>
            </w:r>
          </w:p>
        </w:tc>
        <w:tc>
          <w:tcPr>
            <w:tcW w:w="920" w:type="dxa"/>
            <w:noWrap w:val="0"/>
            <w:vAlign w:val="center"/>
          </w:tcPr>
          <w:p>
            <w:pPr>
              <w:jc w:val="center"/>
              <w:rPr>
                <w:rFonts w:hint="eastAsia" w:ascii="宋体" w:hAnsi="宋体" w:cs="宋体"/>
                <w:color w:val="auto"/>
                <w:sz w:val="24"/>
                <w:highlight w:val="none"/>
                <w:u w:val="single"/>
              </w:rPr>
            </w:pPr>
            <w:r>
              <w:rPr>
                <w:rFonts w:hint="eastAsia" w:ascii="宋体" w:hAnsi="宋体" w:cs="宋体"/>
                <w:color w:val="auto"/>
                <w:sz w:val="24"/>
                <w:highlight w:val="none"/>
              </w:rPr>
              <w:t>数量</w:t>
            </w:r>
          </w:p>
        </w:tc>
        <w:tc>
          <w:tcPr>
            <w:tcW w:w="1282" w:type="dxa"/>
            <w:noWrap w:val="0"/>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单价（元）</w:t>
            </w:r>
          </w:p>
        </w:tc>
        <w:tc>
          <w:tcPr>
            <w:tcW w:w="1423" w:type="dxa"/>
            <w:noWrap w:val="0"/>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金额（元）</w:t>
            </w:r>
          </w:p>
        </w:tc>
        <w:tc>
          <w:tcPr>
            <w:tcW w:w="795" w:type="dxa"/>
            <w:noWrap w:val="0"/>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838"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1409" w:type="dxa"/>
            <w:noWrap w:val="0"/>
            <w:vAlign w:val="center"/>
          </w:tcPr>
          <w:p>
            <w:pPr>
              <w:spacing w:line="360" w:lineRule="auto"/>
              <w:jc w:val="center"/>
              <w:rPr>
                <w:rFonts w:hint="default" w:ascii="宋体" w:hAnsi="宋体" w:eastAsia="宋体" w:cs="宋体"/>
                <w:color w:val="auto"/>
                <w:sz w:val="24"/>
                <w:highlight w:val="none"/>
                <w:lang w:val="en-US" w:eastAsia="zh-CN"/>
              </w:rPr>
            </w:pPr>
          </w:p>
        </w:tc>
        <w:tc>
          <w:tcPr>
            <w:tcW w:w="1766" w:type="dxa"/>
            <w:noWrap w:val="0"/>
            <w:vAlign w:val="center"/>
          </w:tcPr>
          <w:p>
            <w:pPr>
              <w:spacing w:line="360" w:lineRule="auto"/>
              <w:jc w:val="center"/>
              <w:rPr>
                <w:rFonts w:hint="default" w:ascii="宋体" w:hAnsi="宋体" w:eastAsia="宋体" w:cs="宋体"/>
                <w:color w:val="auto"/>
                <w:sz w:val="24"/>
                <w:highlight w:val="none"/>
                <w:lang w:val="en-US" w:eastAsia="zh-CN"/>
              </w:rPr>
            </w:pPr>
          </w:p>
        </w:tc>
        <w:tc>
          <w:tcPr>
            <w:tcW w:w="1417" w:type="dxa"/>
            <w:noWrap w:val="0"/>
            <w:vAlign w:val="center"/>
          </w:tcPr>
          <w:p>
            <w:pPr>
              <w:spacing w:line="360" w:lineRule="auto"/>
              <w:jc w:val="center"/>
              <w:rPr>
                <w:rFonts w:hint="eastAsia" w:ascii="宋体" w:hAnsi="宋体" w:eastAsia="宋体" w:cs="宋体"/>
                <w:color w:val="auto"/>
                <w:sz w:val="24"/>
                <w:highlight w:val="none"/>
                <w:lang w:eastAsia="zh-CN"/>
              </w:rPr>
            </w:pPr>
          </w:p>
        </w:tc>
        <w:tc>
          <w:tcPr>
            <w:tcW w:w="920" w:type="dxa"/>
            <w:noWrap w:val="0"/>
            <w:vAlign w:val="center"/>
          </w:tcPr>
          <w:p>
            <w:pPr>
              <w:spacing w:line="360" w:lineRule="auto"/>
              <w:jc w:val="center"/>
              <w:rPr>
                <w:rFonts w:hint="default" w:ascii="宋体" w:hAnsi="宋体" w:eastAsia="宋体" w:cs="宋体"/>
                <w:color w:val="auto"/>
                <w:sz w:val="24"/>
                <w:highlight w:val="none"/>
                <w:lang w:val="en-US" w:eastAsia="zh-CN"/>
              </w:rPr>
            </w:pPr>
          </w:p>
        </w:tc>
        <w:tc>
          <w:tcPr>
            <w:tcW w:w="1282" w:type="dxa"/>
            <w:noWrap w:val="0"/>
            <w:vAlign w:val="center"/>
          </w:tcPr>
          <w:p>
            <w:pPr>
              <w:spacing w:line="360" w:lineRule="auto"/>
              <w:jc w:val="center"/>
              <w:rPr>
                <w:rFonts w:hint="default" w:ascii="宋体" w:hAnsi="宋体" w:eastAsia="宋体" w:cs="宋体"/>
                <w:color w:val="auto"/>
                <w:sz w:val="24"/>
                <w:highlight w:val="none"/>
                <w:lang w:val="en-US" w:eastAsia="zh-CN"/>
              </w:rPr>
            </w:pPr>
          </w:p>
        </w:tc>
        <w:tc>
          <w:tcPr>
            <w:tcW w:w="1423" w:type="dxa"/>
            <w:noWrap w:val="0"/>
            <w:vAlign w:val="center"/>
          </w:tcPr>
          <w:p>
            <w:pPr>
              <w:spacing w:line="360" w:lineRule="auto"/>
              <w:jc w:val="center"/>
              <w:rPr>
                <w:rFonts w:hint="default" w:ascii="宋体" w:hAnsi="宋体" w:eastAsia="宋体" w:cs="宋体"/>
                <w:color w:val="auto"/>
                <w:sz w:val="24"/>
                <w:highlight w:val="none"/>
                <w:lang w:val="en-US" w:eastAsia="zh-CN"/>
              </w:rPr>
            </w:pPr>
          </w:p>
        </w:tc>
        <w:tc>
          <w:tcPr>
            <w:tcW w:w="795" w:type="dxa"/>
            <w:noWrap w:val="0"/>
            <w:vAlign w:val="center"/>
          </w:tcPr>
          <w:p>
            <w:pPr>
              <w:spacing w:line="360" w:lineRule="auto"/>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838" w:type="dxa"/>
            <w:noWrap w:val="0"/>
            <w:vAlign w:val="center"/>
          </w:tcPr>
          <w:p>
            <w:pPr>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w:t>
            </w:r>
          </w:p>
        </w:tc>
        <w:tc>
          <w:tcPr>
            <w:tcW w:w="1409" w:type="dxa"/>
            <w:noWrap w:val="0"/>
            <w:vAlign w:val="center"/>
          </w:tcPr>
          <w:p>
            <w:pPr>
              <w:spacing w:line="360" w:lineRule="auto"/>
              <w:jc w:val="center"/>
              <w:rPr>
                <w:rFonts w:hint="default" w:ascii="宋体" w:hAnsi="宋体" w:eastAsia="宋体" w:cs="宋体"/>
                <w:color w:val="auto"/>
                <w:sz w:val="24"/>
                <w:highlight w:val="none"/>
                <w:lang w:val="en-US" w:eastAsia="zh-CN"/>
              </w:rPr>
            </w:pPr>
          </w:p>
        </w:tc>
        <w:tc>
          <w:tcPr>
            <w:tcW w:w="1766" w:type="dxa"/>
            <w:noWrap w:val="0"/>
            <w:vAlign w:val="center"/>
          </w:tcPr>
          <w:p>
            <w:pPr>
              <w:spacing w:line="360" w:lineRule="auto"/>
              <w:jc w:val="center"/>
              <w:rPr>
                <w:rFonts w:hint="default" w:ascii="宋体" w:hAnsi="宋体" w:eastAsia="宋体" w:cs="宋体"/>
                <w:color w:val="auto"/>
                <w:sz w:val="24"/>
                <w:highlight w:val="none"/>
                <w:lang w:val="en-US" w:eastAsia="zh-CN"/>
              </w:rPr>
            </w:pPr>
          </w:p>
        </w:tc>
        <w:tc>
          <w:tcPr>
            <w:tcW w:w="1417" w:type="dxa"/>
            <w:noWrap w:val="0"/>
            <w:vAlign w:val="center"/>
          </w:tcPr>
          <w:p>
            <w:pPr>
              <w:spacing w:line="360" w:lineRule="auto"/>
              <w:jc w:val="center"/>
              <w:rPr>
                <w:rFonts w:hint="eastAsia" w:ascii="宋体" w:hAnsi="宋体" w:eastAsia="宋体" w:cs="宋体"/>
                <w:color w:val="auto"/>
                <w:sz w:val="24"/>
                <w:highlight w:val="none"/>
                <w:lang w:eastAsia="zh-CN"/>
              </w:rPr>
            </w:pPr>
          </w:p>
        </w:tc>
        <w:tc>
          <w:tcPr>
            <w:tcW w:w="920" w:type="dxa"/>
            <w:noWrap w:val="0"/>
            <w:vAlign w:val="center"/>
          </w:tcPr>
          <w:p>
            <w:pPr>
              <w:spacing w:line="360" w:lineRule="auto"/>
              <w:jc w:val="center"/>
              <w:rPr>
                <w:rFonts w:hint="default" w:ascii="宋体" w:hAnsi="宋体" w:eastAsia="宋体" w:cs="宋体"/>
                <w:color w:val="auto"/>
                <w:sz w:val="24"/>
                <w:highlight w:val="none"/>
                <w:lang w:val="en-US" w:eastAsia="zh-CN"/>
              </w:rPr>
            </w:pPr>
          </w:p>
        </w:tc>
        <w:tc>
          <w:tcPr>
            <w:tcW w:w="1282" w:type="dxa"/>
            <w:noWrap w:val="0"/>
            <w:vAlign w:val="center"/>
          </w:tcPr>
          <w:p>
            <w:pPr>
              <w:spacing w:line="360" w:lineRule="auto"/>
              <w:jc w:val="center"/>
              <w:rPr>
                <w:rFonts w:hint="default" w:ascii="宋体" w:hAnsi="宋体" w:eastAsia="宋体" w:cs="宋体"/>
                <w:color w:val="auto"/>
                <w:sz w:val="24"/>
                <w:highlight w:val="none"/>
                <w:lang w:val="en-US" w:eastAsia="zh-CN"/>
              </w:rPr>
            </w:pPr>
          </w:p>
        </w:tc>
        <w:tc>
          <w:tcPr>
            <w:tcW w:w="1423" w:type="dxa"/>
            <w:noWrap w:val="0"/>
            <w:vAlign w:val="center"/>
          </w:tcPr>
          <w:p>
            <w:pPr>
              <w:spacing w:line="360" w:lineRule="auto"/>
              <w:jc w:val="center"/>
              <w:rPr>
                <w:rFonts w:hint="default" w:ascii="宋体" w:hAnsi="宋体" w:eastAsia="宋体" w:cs="宋体"/>
                <w:color w:val="auto"/>
                <w:sz w:val="24"/>
                <w:highlight w:val="none"/>
                <w:lang w:val="en-US" w:eastAsia="zh-CN"/>
              </w:rPr>
            </w:pPr>
          </w:p>
        </w:tc>
        <w:tc>
          <w:tcPr>
            <w:tcW w:w="795" w:type="dxa"/>
            <w:noWrap w:val="0"/>
            <w:vAlign w:val="center"/>
          </w:tcPr>
          <w:p>
            <w:pPr>
              <w:spacing w:line="360" w:lineRule="auto"/>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9850" w:type="dxa"/>
            <w:gridSpan w:val="8"/>
            <w:noWrap w:val="0"/>
            <w:vAlign w:val="center"/>
          </w:tcPr>
          <w:p>
            <w:pPr>
              <w:spacing w:line="360" w:lineRule="auto"/>
              <w:rPr>
                <w:rFonts w:hint="default" w:ascii="宋体" w:hAnsi="宋体" w:cs="宋体"/>
                <w:color w:val="auto"/>
                <w:sz w:val="24"/>
                <w:highlight w:val="none"/>
                <w:lang w:val="en-US"/>
              </w:rPr>
            </w:pPr>
            <w:r>
              <w:rPr>
                <w:rFonts w:hint="eastAsia" w:ascii="宋体" w:hAnsi="宋体" w:cs="宋体"/>
                <w:color w:val="auto"/>
                <w:sz w:val="24"/>
                <w:highlight w:val="none"/>
              </w:rPr>
              <w:t>合计金额（大写）：           （小写）</w:t>
            </w:r>
          </w:p>
        </w:tc>
      </w:tr>
    </w:tbl>
    <w:p>
      <w:pPr>
        <w:widowControl/>
        <w:shd w:val="clear" w:color="auto" w:fill="FFFFFF"/>
        <w:spacing w:line="360"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（注：如货物较多可另附清单）</w:t>
      </w:r>
    </w:p>
    <w:p>
      <w:pPr>
        <w:widowControl/>
        <w:shd w:val="clear" w:color="auto" w:fill="FFFFFF"/>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合同价格包括交付采购人使用前的所有费用，包括货物本体、包装费、运输费、装卸费、保险费等各种税费、相关技术资料及图纸、技术服务、售后服务等项内容的全部费用。</w:t>
      </w:r>
    </w:p>
    <w:p>
      <w:pPr>
        <w:tabs>
          <w:tab w:val="left" w:pos="851"/>
          <w:tab w:val="left" w:pos="1380"/>
        </w:tabs>
        <w:spacing w:line="360" w:lineRule="auto"/>
        <w:ind w:left="482"/>
        <w:jc w:val="left"/>
        <w:rPr>
          <w:rFonts w:hint="eastAsia" w:ascii="宋体" w:hAnsi="宋体" w:cs="宋体"/>
          <w:color w:val="auto"/>
          <w:sz w:val="24"/>
          <w:highlight w:val="none"/>
        </w:rPr>
      </w:pPr>
      <w:r>
        <w:rPr>
          <w:rFonts w:hint="eastAsia" w:ascii="宋体" w:hAnsi="宋体" w:cs="宋体"/>
          <w:color w:val="auto"/>
          <w:sz w:val="24"/>
          <w:highlight w:val="none"/>
        </w:rPr>
        <w:t>第二条 质量标准：</w:t>
      </w:r>
    </w:p>
    <w:p>
      <w:pPr>
        <w:tabs>
          <w:tab w:val="left" w:pos="851"/>
          <w:tab w:val="left" w:pos="1380"/>
        </w:tabs>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招标公告</w:t>
      </w:r>
      <w:r>
        <w:rPr>
          <w:rFonts w:hint="eastAsia" w:ascii="宋体" w:hAnsi="宋体" w:cs="宋体"/>
          <w:color w:val="auto"/>
          <w:sz w:val="24"/>
          <w:highlight w:val="none"/>
        </w:rPr>
        <w:t>、澄清的承诺书等都是合同的组成部分，甲乙双方必须全面遵守；</w:t>
      </w:r>
    </w:p>
    <w:p>
      <w:pPr>
        <w:tabs>
          <w:tab w:val="left" w:pos="851"/>
          <w:tab w:val="left" w:pos="1380"/>
        </w:tabs>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2．乙方所提供的货物必须保证有关证书和附件（包括标准配置必备件、质量保证/卡、使用说明书、进口货物由海关/商检出具证明等）等相关手续齐全；</w:t>
      </w:r>
    </w:p>
    <w:p>
      <w:pPr>
        <w:tabs>
          <w:tab w:val="left" w:pos="851"/>
          <w:tab w:val="left" w:pos="1380"/>
        </w:tabs>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 乙方保证所售货物的质量符合照国家标准、行业标准履行；没有国家标准、行业标准的，按照通常标准或者符合合同目的的特定标准履行。</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第三条 交货地点、运输方式、运输责任、交货期限及包装标识要求：</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1．交货地点：甲方指定地点；</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2．运输方式：由乙方确定；</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3．运输责任：装卸费、运费和保险费由乙方承担；</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4．</w:t>
      </w:r>
      <w:r>
        <w:rPr>
          <w:rFonts w:hint="eastAsia" w:ascii="宋体" w:hAnsi="宋体" w:cs="宋体"/>
          <w:color w:val="auto"/>
          <w:sz w:val="24"/>
          <w:highlight w:val="none"/>
          <w:lang w:eastAsia="zh-CN"/>
        </w:rPr>
        <w:t>交货期</w:t>
      </w:r>
      <w:r>
        <w:rPr>
          <w:rFonts w:hint="eastAsia" w:ascii="宋体" w:hAnsi="宋体" w:cs="宋体"/>
          <w:color w:val="auto"/>
          <w:sz w:val="24"/>
          <w:highlight w:val="none"/>
        </w:rPr>
        <w:t>：</w:t>
      </w:r>
      <w:r>
        <w:rPr>
          <w:rFonts w:hint="eastAsia" w:ascii="宋体" w:hAnsi="宋体" w:cs="宋体"/>
          <w:color w:val="auto"/>
          <w:sz w:val="24"/>
          <w:highlight w:val="none"/>
          <w:lang w:eastAsia="zh-CN"/>
        </w:rPr>
        <w:t>交货期为</w:t>
      </w:r>
      <w:r>
        <w:rPr>
          <w:rFonts w:hint="eastAsia" w:ascii="宋体" w:hAnsi="宋体" w:cs="宋体"/>
          <w:color w:val="auto"/>
          <w:sz w:val="24"/>
          <w:highlight w:val="none"/>
          <w:lang w:val="en-US" w:eastAsia="zh-CN"/>
        </w:rPr>
        <w:t>2022年3月 日 时之前。</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5．包装标识要求：（乙方包装标识至少应包括以下内容并在包装明显位置标注，未按要求标识存在被拒收货物的可能）</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（1）货物名称</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（2）收货人（使用单位联系人）</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（3）收货单位</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（4）货物件数</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（5）发货单位及地址</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第四条 服务条款：</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1．产品的供应、</w:t>
      </w:r>
      <w:r>
        <w:rPr>
          <w:rFonts w:hint="eastAsia" w:ascii="宋体" w:hAnsi="宋体" w:cs="宋体"/>
          <w:color w:val="auto"/>
          <w:sz w:val="24"/>
          <w:highlight w:val="none"/>
          <w:lang w:val="en-US" w:eastAsia="zh-CN"/>
        </w:rPr>
        <w:t>运输</w:t>
      </w:r>
      <w:r>
        <w:rPr>
          <w:rFonts w:hint="eastAsia" w:ascii="宋体" w:hAnsi="宋体" w:cs="宋体"/>
          <w:color w:val="auto"/>
          <w:sz w:val="24"/>
          <w:highlight w:val="none"/>
        </w:rPr>
        <w:t>等费用由乙方承担。产品采购完成后要求对使用人员进行现场培训，保障甲方使用者能够熟练使用货物功能并能掌握正常维护手段；</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2．产品有效期：</w:t>
      </w:r>
      <w:r>
        <w:rPr>
          <w:rFonts w:hint="eastAsia" w:ascii="宋体" w:hAnsi="宋体" w:cs="宋体"/>
          <w:color w:val="auto"/>
          <w:kern w:val="0"/>
          <w:sz w:val="24"/>
          <w:highlight w:val="none"/>
          <w:lang w:val="en-US" w:eastAsia="zh-CN" w:bidi="ar"/>
        </w:rPr>
        <w:t>不低于货物自身有效期的90%</w:t>
      </w:r>
      <w:r>
        <w:rPr>
          <w:rFonts w:hint="eastAsia" w:ascii="宋体" w:hAnsi="宋体" w:cs="宋体"/>
          <w:color w:val="auto"/>
          <w:sz w:val="24"/>
          <w:highlight w:val="none"/>
        </w:rPr>
        <w:t>。</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3．有效期内产品出现问题，</w:t>
      </w:r>
      <w:r>
        <w:rPr>
          <w:rFonts w:hint="eastAsia" w:ascii="宋体" w:hAnsi="宋体" w:cs="宋体"/>
          <w:bCs/>
          <w:color w:val="auto"/>
          <w:sz w:val="24"/>
          <w:highlight w:val="none"/>
          <w:lang w:val="zh-CN"/>
        </w:rPr>
        <w:t>乙方负责</w:t>
      </w:r>
      <w:r>
        <w:rPr>
          <w:rFonts w:hint="eastAsia" w:ascii="宋体" w:hAnsi="宋体" w:cs="宋体"/>
          <w:color w:val="auto"/>
          <w:sz w:val="24"/>
          <w:highlight w:val="none"/>
        </w:rPr>
        <w:t>调换或退</w:t>
      </w:r>
      <w:r>
        <w:rPr>
          <w:rFonts w:hint="eastAsia" w:ascii="宋体" w:hAnsi="宋体" w:cs="宋体"/>
          <w:color w:val="auto"/>
          <w:sz w:val="24"/>
          <w:highlight w:val="none"/>
          <w:lang w:eastAsia="zh-CN"/>
        </w:rPr>
        <w:t>货</w:t>
      </w:r>
      <w:r>
        <w:rPr>
          <w:rFonts w:hint="eastAsia" w:ascii="宋体" w:hAnsi="宋体" w:cs="宋体"/>
          <w:color w:val="auto"/>
          <w:sz w:val="24"/>
          <w:highlight w:val="none"/>
        </w:rPr>
        <w:t>。</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第五条 货物验收标准，程序及提出异议的期限：</w:t>
      </w:r>
    </w:p>
    <w:p>
      <w:pPr>
        <w:spacing w:line="360" w:lineRule="auto"/>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1.本项目由华润库负责验收，并提供验收报告。</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．验收依据：以合同、</w:t>
      </w:r>
      <w:r>
        <w:rPr>
          <w:rFonts w:hint="eastAsia" w:ascii="宋体" w:hAnsi="宋体" w:cs="宋体"/>
          <w:color w:val="auto"/>
          <w:sz w:val="24"/>
          <w:highlight w:val="none"/>
          <w:lang w:eastAsia="zh-CN"/>
        </w:rPr>
        <w:t>谈判文件</w:t>
      </w:r>
      <w:r>
        <w:rPr>
          <w:rFonts w:hint="eastAsia" w:ascii="宋体" w:hAnsi="宋体" w:cs="宋体"/>
          <w:color w:val="auto"/>
          <w:sz w:val="24"/>
          <w:highlight w:val="none"/>
        </w:rPr>
        <w:t>、</w:t>
      </w:r>
      <w:r>
        <w:rPr>
          <w:rFonts w:hint="eastAsia" w:ascii="宋体" w:hAnsi="宋体" w:cs="宋体"/>
          <w:color w:val="auto"/>
          <w:sz w:val="24"/>
          <w:highlight w:val="none"/>
          <w:lang w:eastAsia="zh-CN"/>
        </w:rPr>
        <w:t>成交响应文件</w:t>
      </w:r>
      <w:r>
        <w:rPr>
          <w:rFonts w:hint="eastAsia" w:ascii="宋体" w:hAnsi="宋体" w:cs="宋体"/>
          <w:color w:val="auto"/>
          <w:sz w:val="24"/>
          <w:highlight w:val="none"/>
        </w:rPr>
        <w:t>、承诺文件、出厂技术标准和检验报告、装箱单等的最高要求为准，验收内容如下：</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（1）货物为原厂商未启封全新包装，产品型号与订货型号一致，具有出厂合格证、序列号、包装箱号与出厂批号一致，并可追索查询；</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（2）所有随货物的零部件、</w:t>
      </w:r>
      <w:bookmarkStart w:id="1" w:name="_Hlk14817618"/>
      <w:r>
        <w:rPr>
          <w:rFonts w:hint="eastAsia" w:ascii="宋体" w:hAnsi="宋体" w:cs="宋体"/>
          <w:color w:val="auto"/>
          <w:sz w:val="24"/>
          <w:highlight w:val="none"/>
        </w:rPr>
        <w:t>备品备件</w:t>
      </w:r>
      <w:bookmarkEnd w:id="1"/>
      <w:r>
        <w:rPr>
          <w:rFonts w:hint="eastAsia" w:ascii="宋体" w:hAnsi="宋体" w:cs="宋体"/>
          <w:color w:val="auto"/>
          <w:sz w:val="24"/>
          <w:highlight w:val="none"/>
        </w:rPr>
        <w:t>、附件、工具、软件等齐全（如有）；</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（3）所有随货物的用户手册、保修手册、合格证、说明书和其他图纸、技术资料等有关单证等齐全，其中，使用手册及安全须知等资料须有中文说明</w:t>
      </w:r>
      <w:r>
        <w:rPr>
          <w:rFonts w:hint="eastAsia" w:ascii="宋体" w:hAnsi="宋体" w:cs="宋体"/>
          <w:color w:val="auto"/>
          <w:sz w:val="24"/>
          <w:highlight w:val="none"/>
          <w:lang w:eastAsia="zh-CN"/>
        </w:rPr>
        <w:t>（如有）</w:t>
      </w:r>
      <w:r>
        <w:rPr>
          <w:rFonts w:hint="eastAsia" w:ascii="宋体" w:hAnsi="宋体" w:cs="宋体"/>
          <w:color w:val="auto"/>
          <w:sz w:val="24"/>
          <w:highlight w:val="none"/>
        </w:rPr>
        <w:t>；</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（4）货物为原制造商制造的全新产品，无污染、无侵权行为、无表面划损、无磕碰锈蚀、无任何缺陷隐患、在中国境内可依常规安全合法使用；</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（5）货物参数满足验收依据；</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）原厂质保函或原厂售后服务承诺书。</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．验收程序：乙方按合同要求交付之日起30日内，由甲乙双方共同验收并出具验收报告，如发现有不符合标准的，甲方可在30日内向乙方提出异议。</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第六条 </w:t>
      </w:r>
      <w:r>
        <w:rPr>
          <w:rFonts w:hint="eastAsia" w:ascii="宋体" w:hAnsi="宋体" w:cs="宋体"/>
          <w:color w:val="auto"/>
          <w:sz w:val="24"/>
          <w:highlight w:val="none"/>
          <w:lang w:eastAsia="zh-CN"/>
        </w:rPr>
        <w:t>履约保证金及</w:t>
      </w:r>
      <w:r>
        <w:rPr>
          <w:rFonts w:hint="eastAsia" w:ascii="宋体" w:hAnsi="宋体" w:cs="宋体"/>
          <w:color w:val="auto"/>
          <w:sz w:val="24"/>
          <w:highlight w:val="none"/>
        </w:rPr>
        <w:t>付款</w:t>
      </w:r>
      <w:r>
        <w:rPr>
          <w:rFonts w:hint="eastAsia" w:ascii="宋体" w:hAnsi="宋体" w:cs="宋体"/>
          <w:color w:val="auto"/>
          <w:sz w:val="24"/>
          <w:highlight w:val="none"/>
          <w:lang w:val="en-US" w:eastAsia="zh-CN"/>
        </w:rPr>
        <w:t>方式</w:t>
      </w:r>
      <w:r>
        <w:rPr>
          <w:rFonts w:hint="eastAsia" w:ascii="宋体" w:hAnsi="宋体" w:cs="宋体"/>
          <w:color w:val="auto"/>
          <w:sz w:val="24"/>
          <w:highlight w:val="none"/>
        </w:rPr>
        <w:t>：</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zh-CN"/>
        </w:rPr>
        <w:t>项目合同签订之</w:t>
      </w:r>
      <w:r>
        <w:rPr>
          <w:rFonts w:hint="eastAsia" w:ascii="宋体" w:hAnsi="宋体" w:cs="宋体"/>
          <w:color w:val="auto"/>
          <w:sz w:val="24"/>
          <w:highlight w:val="none"/>
          <w:lang w:val="en-US" w:eastAsia="zh-CN"/>
        </w:rPr>
        <w:t>前，乙方</w:t>
      </w:r>
      <w:r>
        <w:rPr>
          <w:rFonts w:hint="eastAsia" w:ascii="宋体" w:hAnsi="宋体" w:cs="宋体"/>
          <w:color w:val="auto"/>
          <w:sz w:val="24"/>
          <w:highlight w:val="none"/>
        </w:rPr>
        <w:t>缴纳</w:t>
      </w:r>
      <w:r>
        <w:rPr>
          <w:rFonts w:hint="eastAsia" w:ascii="宋体" w:hAnsi="宋体" w:cs="宋体"/>
          <w:color w:val="auto"/>
          <w:sz w:val="24"/>
          <w:highlight w:val="none"/>
          <w:lang w:val="en-US" w:eastAsia="zh-CN"/>
        </w:rPr>
        <w:t>合同价款5%的履约保证金，</w:t>
      </w:r>
      <w:r>
        <w:rPr>
          <w:rFonts w:hint="eastAsia" w:ascii="宋体" w:hAnsi="宋体" w:cs="宋体"/>
          <w:color w:val="auto"/>
          <w:sz w:val="24"/>
          <w:highlight w:val="none"/>
          <w:lang w:val="zh-CN"/>
        </w:rPr>
        <w:t>项目履约完成并经</w:t>
      </w:r>
      <w:r>
        <w:rPr>
          <w:rFonts w:hint="eastAsia" w:ascii="宋体" w:hAnsi="宋体" w:cs="宋体"/>
          <w:color w:val="auto"/>
          <w:sz w:val="24"/>
          <w:highlight w:val="none"/>
          <w:lang w:val="en-US" w:eastAsia="zh-CN"/>
        </w:rPr>
        <w:t>甲方</w:t>
      </w:r>
      <w:r>
        <w:rPr>
          <w:rFonts w:hint="eastAsia" w:ascii="宋体" w:hAnsi="宋体" w:cs="宋体"/>
          <w:color w:val="auto"/>
          <w:sz w:val="24"/>
          <w:highlight w:val="none"/>
          <w:lang w:val="zh-CN"/>
        </w:rPr>
        <w:t>验收合格后，</w:t>
      </w:r>
      <w:r>
        <w:rPr>
          <w:rFonts w:hint="eastAsia" w:ascii="宋体" w:hAnsi="宋体" w:cs="宋体"/>
          <w:color w:val="auto"/>
          <w:sz w:val="24"/>
          <w:highlight w:val="none"/>
          <w:lang w:val="en-US" w:eastAsia="zh-CN"/>
        </w:rPr>
        <w:t>甲方</w:t>
      </w:r>
      <w:r>
        <w:rPr>
          <w:rFonts w:hint="eastAsia" w:ascii="宋体" w:hAnsi="宋体" w:cs="宋体"/>
          <w:color w:val="auto"/>
          <w:sz w:val="24"/>
          <w:highlight w:val="none"/>
          <w:lang w:val="zh-CN"/>
        </w:rPr>
        <w:t>一次性支付合同价款的</w:t>
      </w:r>
      <w:r>
        <w:rPr>
          <w:rFonts w:hint="eastAsia" w:ascii="宋体" w:hAnsi="宋体" w:cs="宋体"/>
          <w:color w:val="auto"/>
          <w:sz w:val="24"/>
          <w:highlight w:val="none"/>
          <w:lang w:val="en-US" w:eastAsia="zh-CN"/>
        </w:rPr>
        <w:t>100%，全部履约保证金（合同价款的5%）作为项目质量保证金，质保期一年。质保期届满且未发现质量问题，质量保证金一次性无息付清</w:t>
      </w:r>
      <w:r>
        <w:rPr>
          <w:rFonts w:hint="eastAsia" w:ascii="宋体" w:hAnsi="宋体" w:cs="宋体"/>
          <w:color w:val="auto"/>
          <w:sz w:val="24"/>
          <w:highlight w:val="none"/>
          <w:lang w:val="zh-CN"/>
        </w:rPr>
        <w:t>。甲方在支付本合同项下每一笔款项前，乙方应当按照甲方的开票信息及要求开具并提供等额合格的增值税（专业/普通）发票，乙方未按期开具或所开具的发票不符合约定的，甲方有权延期付款，不构成违约。</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第七条 违约责任：</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1．乙方所支付的货物品种、型号、规格、质量不符合合同规定标准的，甲方有权拒收、扣留已交付的货物直至乙方提供符合要求的货物；</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2．乙方逾期交付货物（包括由于修理、更换造成迟延交货）的，</w:t>
      </w:r>
      <w:r>
        <w:rPr>
          <w:rFonts w:hint="eastAsia" w:ascii="宋体" w:hAnsi="宋体" w:cs="宋体"/>
          <w:color w:val="auto"/>
          <w:sz w:val="24"/>
          <w:highlight w:val="none"/>
          <w:lang w:val="en-US" w:eastAsia="zh-CN"/>
        </w:rPr>
        <w:t>每</w:t>
      </w:r>
      <w:r>
        <w:rPr>
          <w:rFonts w:hint="eastAsia" w:ascii="宋体" w:hAnsi="宋体" w:cs="宋体"/>
          <w:color w:val="auto"/>
          <w:sz w:val="24"/>
          <w:highlight w:val="none"/>
        </w:rPr>
        <w:t>逾期</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日，乙方向甲方每天支付合同总额</w:t>
      </w:r>
      <w:r>
        <w:rPr>
          <w:rFonts w:hint="eastAsia" w:ascii="宋体" w:hAnsi="宋体" w:cs="宋体"/>
          <w:color w:val="auto"/>
          <w:sz w:val="24"/>
          <w:highlight w:val="none"/>
          <w:lang w:val="en-US" w:eastAsia="zh-CN"/>
        </w:rPr>
        <w:t>百</w:t>
      </w:r>
      <w:r>
        <w:rPr>
          <w:rFonts w:hint="eastAsia" w:ascii="宋体" w:hAnsi="宋体" w:cs="宋体"/>
          <w:color w:val="auto"/>
          <w:sz w:val="24"/>
          <w:highlight w:val="none"/>
        </w:rPr>
        <w:t>分之五的违约金；且甲方有权解除合同；</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3．货物质量出现问题不能予以</w:t>
      </w:r>
      <w:r>
        <w:rPr>
          <w:rFonts w:hint="eastAsia" w:ascii="宋体" w:hAnsi="宋体" w:cs="宋体"/>
          <w:color w:val="auto"/>
          <w:sz w:val="24"/>
          <w:highlight w:val="none"/>
          <w:lang w:eastAsia="zh-CN"/>
        </w:rPr>
        <w:t>更换</w:t>
      </w:r>
      <w:r>
        <w:rPr>
          <w:rFonts w:hint="eastAsia" w:ascii="宋体" w:hAnsi="宋体" w:cs="宋体"/>
          <w:color w:val="auto"/>
          <w:sz w:val="24"/>
          <w:highlight w:val="none"/>
        </w:rPr>
        <w:t>或</w:t>
      </w:r>
      <w:r>
        <w:rPr>
          <w:rFonts w:hint="eastAsia" w:ascii="宋体" w:hAnsi="宋体" w:cs="宋体"/>
          <w:color w:val="auto"/>
          <w:sz w:val="24"/>
          <w:highlight w:val="none"/>
          <w:lang w:eastAsia="zh-CN"/>
        </w:rPr>
        <w:t>更换</w:t>
      </w:r>
      <w:r>
        <w:rPr>
          <w:rFonts w:hint="eastAsia" w:ascii="宋体" w:hAnsi="宋体" w:cs="宋体"/>
          <w:color w:val="auto"/>
          <w:sz w:val="24"/>
          <w:highlight w:val="none"/>
        </w:rPr>
        <w:t>不及时的，甲方有权终止支付质量保证金。</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4.乙方出现本合同约定的违约情况，甲方有权在支付货款时直接在货款中扣留约定的违约金。</w:t>
      </w:r>
    </w:p>
    <w:p>
      <w:pPr>
        <w:spacing w:line="360" w:lineRule="auto"/>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5.甲方逾期付款构成违约时，应按全国银行间同业拆借中心公布的贷款市场报价利率标准向乙方支付违约金。</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第八条 在执行合同期限内，任何一方因不可抗力造成不能履行合同时，应立即通知对方，并寄送权威机构出具的证明，则合同履行期可延长，其延长期与不可抗力的影响期相同。不可抗力延续30天及以上，双方应通过友好协商，决定是否继续履行合同事宜。</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第九条  因货物的质量问题发生争议，由甲方选择具有鉴定资质的鉴定机构对货物进行质量鉴定。鉴定结果货物无质量问题时，鉴定费用由甲方负担；货物存在质量问题时，鉴定费用由乙方承担。</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第十条 乙方负责现场全部作业的安全。采取所有合理的措施来保护现场内外的环境，并避免由于其操作方法所造成的污染、噪音或其他问题而对人员或公私财产造成的损失和意外。</w:t>
      </w:r>
    </w:p>
    <w:p>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第十一条 所有采购货物，如涉及到知识产权问题，由中标人自行解决，采购人不承担任何责任</w:t>
      </w:r>
      <w:r>
        <w:rPr>
          <w:rFonts w:hint="eastAsia" w:ascii="宋体" w:hAnsi="宋体" w:cs="宋体"/>
          <w:color w:val="auto"/>
          <w:sz w:val="24"/>
          <w:highlight w:val="none"/>
          <w:lang w:eastAsia="zh-CN"/>
        </w:rPr>
        <w:t>，且乙方对所提供产品的知识产权承担瑕疵担保义务。</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第十二条</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合同争议的解决方式：</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本合同在履行过程中发生的争议，由双方当事人协商解决。也可由当地工商行政管理部门调解。协商或调解不成的，按下列第</w:t>
      </w:r>
      <w:r>
        <w:rPr>
          <w:rFonts w:hint="eastAsia" w:ascii="宋体" w:hAnsi="宋体" w:cs="宋体"/>
          <w:color w:val="auto"/>
          <w:sz w:val="24"/>
          <w:highlight w:val="none"/>
          <w:u w:val="single"/>
        </w:rPr>
        <w:t xml:space="preserve">(二) </w:t>
      </w:r>
      <w:r>
        <w:rPr>
          <w:rFonts w:hint="eastAsia" w:ascii="宋体" w:hAnsi="宋体" w:cs="宋体"/>
          <w:color w:val="auto"/>
          <w:sz w:val="24"/>
          <w:highlight w:val="none"/>
        </w:rPr>
        <w:t>种方式解决。</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（一）提交唐山仲裁委员会仲裁。</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（二）依法向唐山市人民法院起诉。</w:t>
      </w:r>
    </w:p>
    <w:p>
      <w:pPr>
        <w:pStyle w:val="9"/>
        <w:shd w:val="clear" w:color="auto" w:fill="FFFFFF"/>
        <w:spacing w:before="0" w:beforeAutospacing="0" w:after="0" w:afterAutospacing="0" w:line="360" w:lineRule="auto"/>
        <w:ind w:firstLine="480" w:firstLineChars="200"/>
        <w:rPr>
          <w:rFonts w:hint="eastAsia"/>
          <w:color w:val="auto"/>
          <w:highlight w:val="none"/>
        </w:rPr>
      </w:pPr>
      <w:r>
        <w:rPr>
          <w:rFonts w:hint="eastAsia"/>
          <w:color w:val="auto"/>
          <w:highlight w:val="none"/>
        </w:rPr>
        <w:t>第十三条 本合同自</w:t>
      </w:r>
      <w:r>
        <w:rPr>
          <w:rFonts w:hint="eastAsia"/>
          <w:color w:val="auto"/>
          <w:highlight w:val="none"/>
          <w:u w:val="single"/>
        </w:rPr>
        <w:t xml:space="preserve">   双方签字盖章之日  </w:t>
      </w:r>
      <w:r>
        <w:rPr>
          <w:rFonts w:hint="eastAsia"/>
          <w:color w:val="auto"/>
          <w:highlight w:val="none"/>
        </w:rPr>
        <w:t>起生效。</w:t>
      </w:r>
    </w:p>
    <w:p>
      <w:pPr>
        <w:tabs>
          <w:tab w:val="left" w:pos="8280"/>
        </w:tabs>
        <w:spacing w:after="120" w:line="360" w:lineRule="auto"/>
        <w:ind w:firstLine="461"/>
        <w:rPr>
          <w:rFonts w:hint="eastAsia" w:ascii="宋体" w:hAnsi="宋体" w:cs="宋体"/>
          <w:color w:val="auto"/>
          <w:sz w:val="24"/>
          <w:highlight w:val="none"/>
        </w:rPr>
      </w:pPr>
      <w:r>
        <w:rPr>
          <w:rFonts w:hint="eastAsia" w:ascii="宋体" w:hAnsi="宋体" w:cs="宋体"/>
          <w:color w:val="auto"/>
          <w:sz w:val="24"/>
          <w:highlight w:val="none"/>
        </w:rPr>
        <w:t xml:space="preserve">第十四条 双方约定书面文件及法律文书接收地址为以下接收地址，合同当事人或法院将相关文书送达到该地址即视为完成送达，送达地址变更的，必须采用书面方式告知对方。 </w:t>
      </w:r>
    </w:p>
    <w:p>
      <w:pPr>
        <w:tabs>
          <w:tab w:val="left" w:pos="8280"/>
        </w:tabs>
        <w:spacing w:after="120" w:line="360" w:lineRule="auto"/>
        <w:ind w:firstLine="461"/>
        <w:rPr>
          <w:rFonts w:hint="eastAsia" w:ascii="宋体" w:hAnsi="宋体" w:cs="宋体"/>
          <w:color w:val="auto"/>
          <w:sz w:val="24"/>
          <w:highlight w:val="none"/>
        </w:rPr>
      </w:pPr>
      <w:r>
        <w:rPr>
          <w:rFonts w:hint="eastAsia" w:ascii="宋体" w:hAnsi="宋体" w:cs="宋体"/>
          <w:color w:val="auto"/>
          <w:sz w:val="24"/>
          <w:highlight w:val="none"/>
        </w:rPr>
        <w:t>第十五条  本合同一式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份。甲乙双方各执</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份，其效力相同。</w:t>
      </w:r>
    </w:p>
    <w:p>
      <w:pPr>
        <w:tabs>
          <w:tab w:val="left" w:pos="8280"/>
        </w:tabs>
        <w:spacing w:after="120" w:line="360" w:lineRule="auto"/>
        <w:ind w:firstLine="461"/>
        <w:rPr>
          <w:rFonts w:hint="eastAsia" w:ascii="宋体" w:hAnsi="宋体" w:cs="宋体"/>
          <w:color w:val="auto"/>
          <w:sz w:val="24"/>
          <w:highlight w:val="none"/>
        </w:rPr>
      </w:pPr>
      <w:r>
        <w:rPr>
          <w:rFonts w:hint="eastAsia" w:ascii="宋体" w:hAnsi="宋体" w:cs="宋体"/>
          <w:color w:val="auto"/>
          <w:sz w:val="24"/>
          <w:highlight w:val="none"/>
        </w:rPr>
        <w:t>第十六条  其他约定事项：如有未尽事宜，由双方依法订立补充合同。</w:t>
      </w:r>
    </w:p>
    <w:p>
      <w:pPr>
        <w:pStyle w:val="9"/>
        <w:shd w:val="clear" w:color="auto" w:fill="FFFFFF"/>
        <w:spacing w:before="0" w:beforeAutospacing="0" w:after="0" w:afterAutospacing="0" w:line="360" w:lineRule="auto"/>
        <w:ind w:firstLine="400" w:firstLineChars="200"/>
        <w:rPr>
          <w:rFonts w:hint="eastAsia" w:eastAsia="宋体"/>
          <w:color w:val="auto"/>
          <w:spacing w:val="-20"/>
          <w:sz w:val="24"/>
          <w:highlight w:val="none"/>
          <w:lang w:eastAsia="zh-CN"/>
        </w:rPr>
      </w:pPr>
      <w:r>
        <w:rPr>
          <w:rFonts w:hint="eastAsia"/>
          <w:color w:val="auto"/>
          <w:spacing w:val="-20"/>
          <w:sz w:val="24"/>
          <w:highlight w:val="none"/>
        </w:rPr>
        <w:t>采购人（章）：</w:t>
      </w:r>
      <w:r>
        <w:rPr>
          <w:rFonts w:hint="eastAsia"/>
          <w:color w:val="auto"/>
          <w:spacing w:val="-20"/>
          <w:sz w:val="24"/>
          <w:highlight w:val="none"/>
          <w:lang w:val="en-US" w:eastAsia="zh-CN"/>
        </w:rPr>
        <w:t xml:space="preserve">唐山市卫生健康委员会             </w:t>
      </w:r>
      <w:r>
        <w:rPr>
          <w:rFonts w:hint="eastAsia"/>
          <w:color w:val="auto"/>
          <w:spacing w:val="-20"/>
          <w:sz w:val="24"/>
          <w:highlight w:val="none"/>
        </w:rPr>
        <w:t>中标人（章）：</w:t>
      </w:r>
    </w:p>
    <w:p>
      <w:pPr>
        <w:pStyle w:val="9"/>
        <w:shd w:val="clear" w:color="auto" w:fill="FFFFFF"/>
        <w:spacing w:before="0" w:beforeAutospacing="0" w:after="0" w:afterAutospacing="0" w:line="360" w:lineRule="auto"/>
        <w:ind w:firstLine="480" w:firstLineChars="200"/>
        <w:rPr>
          <w:rFonts w:hint="eastAsia"/>
          <w:color w:val="auto"/>
          <w:highlight w:val="none"/>
        </w:rPr>
      </w:pPr>
      <w:r>
        <w:rPr>
          <w:rFonts w:hint="eastAsia"/>
          <w:color w:val="auto"/>
          <w:highlight w:val="none"/>
        </w:rPr>
        <w:t>单位负责人或委托代理人：          单位负责人或委托代理人：</w:t>
      </w:r>
    </w:p>
    <w:p>
      <w:pPr>
        <w:pStyle w:val="9"/>
        <w:shd w:val="clear" w:color="auto" w:fill="FFFFFF"/>
        <w:spacing w:before="0" w:beforeAutospacing="0" w:after="0" w:afterAutospacing="0" w:line="360" w:lineRule="auto"/>
        <w:ind w:firstLine="480" w:firstLineChars="200"/>
        <w:rPr>
          <w:rFonts w:hint="default" w:eastAsia="宋体"/>
          <w:color w:val="auto"/>
          <w:highlight w:val="none"/>
          <w:lang w:val="en-US" w:eastAsia="zh-CN"/>
        </w:rPr>
      </w:pPr>
      <w:r>
        <w:rPr>
          <w:rFonts w:hint="eastAsia"/>
          <w:color w:val="auto"/>
          <w:highlight w:val="none"/>
        </w:rPr>
        <w:t>地址：</w:t>
      </w:r>
      <w:r>
        <w:rPr>
          <w:rFonts w:hint="eastAsia"/>
          <w:color w:val="auto"/>
          <w:highlight w:val="none"/>
          <w:lang w:val="en-US" w:eastAsia="zh-CN"/>
        </w:rPr>
        <w:t xml:space="preserve">唐山市路北区西山道7号     </w:t>
      </w:r>
      <w:r>
        <w:rPr>
          <w:rFonts w:hint="eastAsia"/>
          <w:color w:val="auto"/>
          <w:highlight w:val="none"/>
        </w:rPr>
        <w:t>地址：</w:t>
      </w:r>
    </w:p>
    <w:p>
      <w:pPr>
        <w:pStyle w:val="9"/>
        <w:shd w:val="clear" w:color="auto" w:fill="FFFFFF"/>
        <w:spacing w:before="0" w:beforeAutospacing="0" w:after="0" w:afterAutospacing="0" w:line="360" w:lineRule="auto"/>
        <w:ind w:firstLine="480" w:firstLineChars="200"/>
        <w:rPr>
          <w:rFonts w:hint="default" w:eastAsia="宋体"/>
          <w:color w:val="auto"/>
          <w:highlight w:val="none"/>
          <w:lang w:val="en-US" w:eastAsia="zh-CN"/>
        </w:rPr>
      </w:pPr>
      <w:r>
        <w:rPr>
          <w:rFonts w:hint="eastAsia"/>
          <w:color w:val="auto"/>
          <w:highlight w:val="none"/>
        </w:rPr>
        <w:t xml:space="preserve">电话：2803596   </w:t>
      </w:r>
      <w:r>
        <w:rPr>
          <w:rFonts w:hint="eastAsia"/>
          <w:color w:val="auto"/>
          <w:highlight w:val="none"/>
          <w:lang w:val="en-US" w:eastAsia="zh-CN"/>
        </w:rPr>
        <w:t xml:space="preserve">                </w:t>
      </w:r>
      <w:r>
        <w:rPr>
          <w:rFonts w:hint="eastAsia"/>
          <w:color w:val="auto"/>
          <w:highlight w:val="none"/>
        </w:rPr>
        <w:t xml:space="preserve"> 电话：</w:t>
      </w:r>
    </w:p>
    <w:p>
      <w:pPr>
        <w:pStyle w:val="9"/>
        <w:shd w:val="clear" w:color="auto" w:fill="FFFFFF"/>
        <w:spacing w:before="0" w:beforeAutospacing="0" w:after="0" w:afterAutospacing="0" w:line="360" w:lineRule="auto"/>
        <w:ind w:firstLine="400" w:firstLineChars="200"/>
        <w:rPr>
          <w:rFonts w:hint="eastAsia"/>
          <w:color w:val="auto"/>
          <w:spacing w:val="-20"/>
          <w:sz w:val="24"/>
          <w:highlight w:val="none"/>
        </w:rPr>
      </w:pPr>
      <w:r>
        <w:rPr>
          <w:rFonts w:hint="eastAsia"/>
          <w:color w:val="auto"/>
          <w:spacing w:val="-20"/>
          <w:sz w:val="24"/>
          <w:highlight w:val="none"/>
        </w:rPr>
        <w:t>开户银行：</w:t>
      </w:r>
      <w:r>
        <w:rPr>
          <w:rFonts w:hint="eastAsia"/>
          <w:color w:val="auto"/>
          <w:spacing w:val="-20"/>
          <w:sz w:val="24"/>
          <w:highlight w:val="none"/>
          <w:lang w:val="en-US" w:eastAsia="zh-CN"/>
        </w:rPr>
        <w:t xml:space="preserve">交通银行唐山分行营业部           </w:t>
      </w:r>
      <w:r>
        <w:rPr>
          <w:rFonts w:hint="eastAsia"/>
          <w:color w:val="auto"/>
          <w:spacing w:val="-20"/>
          <w:sz w:val="24"/>
          <w:highlight w:val="none"/>
        </w:rPr>
        <w:t>开户银行：</w:t>
      </w:r>
    </w:p>
    <w:p>
      <w:pPr>
        <w:pStyle w:val="9"/>
        <w:shd w:val="clear" w:color="auto" w:fill="FFFFFF"/>
        <w:spacing w:before="0" w:beforeAutospacing="0" w:after="0" w:afterAutospacing="0" w:line="360" w:lineRule="auto"/>
        <w:ind w:firstLine="480" w:firstLineChars="200"/>
        <w:rPr>
          <w:rFonts w:hint="eastAsia"/>
          <w:color w:val="auto"/>
          <w:highlight w:val="none"/>
        </w:rPr>
      </w:pPr>
      <w:r>
        <w:rPr>
          <w:rFonts w:hint="eastAsia"/>
          <w:color w:val="auto"/>
          <w:highlight w:val="none"/>
        </w:rPr>
        <w:t>账号：</w:t>
      </w:r>
      <w:r>
        <w:rPr>
          <w:rFonts w:hint="eastAsia"/>
          <w:color w:val="auto"/>
          <w:highlight w:val="none"/>
          <w:lang w:val="en-US" w:eastAsia="zh-CN"/>
        </w:rPr>
        <w:t>132100000013000304596      账号：</w:t>
      </w:r>
    </w:p>
    <w:p>
      <w:pPr>
        <w:pStyle w:val="9"/>
        <w:shd w:val="clear" w:color="auto" w:fill="FFFFFF"/>
        <w:spacing w:before="0" w:beforeAutospacing="0" w:after="0" w:afterAutospacing="0" w:line="360" w:lineRule="auto"/>
        <w:ind w:firstLine="480" w:firstLineChars="200"/>
        <w:rPr>
          <w:highlight w:val="none"/>
        </w:rPr>
      </w:pPr>
      <w:r>
        <w:rPr>
          <w:rFonts w:hint="eastAsia"/>
          <w:color w:val="auto"/>
          <w:highlight w:val="none"/>
          <w:lang w:val="en-US" w:eastAsia="zh-CN"/>
        </w:rPr>
        <w:t>2022</w:t>
      </w:r>
      <w:r>
        <w:rPr>
          <w:rFonts w:hint="eastAsia"/>
          <w:color w:val="auto"/>
          <w:highlight w:val="none"/>
        </w:rPr>
        <w:t>年</w:t>
      </w:r>
      <w:r>
        <w:rPr>
          <w:rFonts w:hint="eastAsia"/>
          <w:color w:val="auto"/>
          <w:highlight w:val="none"/>
          <w:lang w:val="en-US" w:eastAsia="zh-CN"/>
        </w:rPr>
        <w:t>3</w:t>
      </w:r>
      <w:r>
        <w:rPr>
          <w:rFonts w:hint="eastAsia"/>
          <w:color w:val="auto"/>
          <w:highlight w:val="none"/>
        </w:rPr>
        <w:t>月</w:t>
      </w:r>
      <w:r>
        <w:rPr>
          <w:rFonts w:hint="eastAsia"/>
          <w:color w:val="auto"/>
          <w:highlight w:val="none"/>
          <w:lang w:val="en-US" w:eastAsia="zh-CN"/>
        </w:rPr>
        <w:t xml:space="preserve"> </w:t>
      </w:r>
      <w:r>
        <w:rPr>
          <w:rFonts w:hint="eastAsia"/>
          <w:color w:val="auto"/>
          <w:highlight w:val="none"/>
        </w:rPr>
        <w:t xml:space="preserve">日                   </w:t>
      </w:r>
      <w:r>
        <w:rPr>
          <w:rFonts w:hint="eastAsia"/>
          <w:color w:val="auto"/>
          <w:highlight w:val="none"/>
          <w:lang w:val="en-US" w:eastAsia="zh-CN"/>
        </w:rPr>
        <w:t xml:space="preserve">  </w:t>
      </w:r>
      <w:r>
        <w:rPr>
          <w:rFonts w:hint="eastAsia"/>
          <w:color w:val="auto"/>
          <w:highlight w:val="none"/>
        </w:rPr>
        <w:t xml:space="preserve"> </w:t>
      </w:r>
      <w:r>
        <w:rPr>
          <w:rFonts w:hint="eastAsia"/>
          <w:color w:val="auto"/>
          <w:highlight w:val="none"/>
          <w:lang w:val="en-US" w:eastAsia="zh-CN"/>
        </w:rPr>
        <w:t>2022</w:t>
      </w:r>
      <w:r>
        <w:rPr>
          <w:rFonts w:hint="eastAsia"/>
          <w:color w:val="auto"/>
          <w:highlight w:val="none"/>
        </w:rPr>
        <w:t>年</w:t>
      </w:r>
      <w:r>
        <w:rPr>
          <w:rFonts w:hint="eastAsia"/>
          <w:color w:val="auto"/>
          <w:highlight w:val="none"/>
          <w:lang w:val="en-US" w:eastAsia="zh-CN"/>
        </w:rPr>
        <w:t>3</w:t>
      </w:r>
      <w:r>
        <w:rPr>
          <w:rFonts w:hint="eastAsia"/>
          <w:color w:val="auto"/>
          <w:highlight w:val="none"/>
        </w:rPr>
        <w:t>月</w:t>
      </w:r>
      <w:r>
        <w:rPr>
          <w:rFonts w:hint="eastAsia"/>
          <w:color w:val="auto"/>
          <w:highlight w:val="none"/>
          <w:lang w:val="en-US" w:eastAsia="zh-CN"/>
        </w:rPr>
        <w:t xml:space="preserve"> 日</w:t>
      </w:r>
    </w:p>
    <w:bookmarkEnd w:id="2"/>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6"/>
                            <w:jc w:val="center"/>
                          </w:pPr>
                          <w:r>
                            <w:fldChar w:fldCharType="begin"/>
                          </w:r>
                          <w:r>
                            <w:instrText xml:space="preserve"> PAGE   \* MERGEFORMAT </w:instrText>
                          </w:r>
                          <w:r>
                            <w:fldChar w:fldCharType="separate"/>
                          </w:r>
                          <w:r>
                            <w:rPr>
                              <w:lang w:val="zh-CN"/>
                            </w:rPr>
                            <w:t>22</w:t>
                          </w:r>
                          <w:r>
                            <w:rPr>
                              <w:lang w:val="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pStyle w:val="6"/>
                      <w:jc w:val="center"/>
                    </w:pPr>
                    <w:r>
                      <w:fldChar w:fldCharType="begin"/>
                    </w:r>
                    <w:r>
                      <w:instrText xml:space="preserve"> PAGE   \* MERGEFORMAT </w:instrText>
                    </w:r>
                    <w:r>
                      <w:fldChar w:fldCharType="separate"/>
                    </w:r>
                    <w:r>
                      <w:rPr>
                        <w:lang w:val="zh-CN"/>
                      </w:rPr>
                      <w:t>22</w:t>
                    </w:r>
                    <w:r>
                      <w:rPr>
                        <w:lang w:val="zh-CN"/>
                      </w:rPr>
                      <w:fldChar w:fldCharType="end"/>
                    </w:r>
                  </w:p>
                </w:txbxContent>
              </v:textbox>
            </v:shape>
          </w:pict>
        </mc:Fallback>
      </mc:AlternateContent>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1C1849"/>
    <w:rsid w:val="01D10B93"/>
    <w:rsid w:val="0AB81985"/>
    <w:rsid w:val="111D3614"/>
    <w:rsid w:val="144B0620"/>
    <w:rsid w:val="18956BD8"/>
    <w:rsid w:val="19DE4315"/>
    <w:rsid w:val="1B2960E2"/>
    <w:rsid w:val="1CD221A8"/>
    <w:rsid w:val="1D3C532B"/>
    <w:rsid w:val="1FF10BAD"/>
    <w:rsid w:val="20B6149C"/>
    <w:rsid w:val="23A73E6A"/>
    <w:rsid w:val="252A0186"/>
    <w:rsid w:val="272114DC"/>
    <w:rsid w:val="2973034A"/>
    <w:rsid w:val="2B0A1020"/>
    <w:rsid w:val="2E1C1849"/>
    <w:rsid w:val="2FDB6DFB"/>
    <w:rsid w:val="37635116"/>
    <w:rsid w:val="37A95DA0"/>
    <w:rsid w:val="40040428"/>
    <w:rsid w:val="4A204910"/>
    <w:rsid w:val="4DAF47AD"/>
    <w:rsid w:val="4E236A72"/>
    <w:rsid w:val="50BC2EEB"/>
    <w:rsid w:val="51257A6A"/>
    <w:rsid w:val="51292043"/>
    <w:rsid w:val="531225F7"/>
    <w:rsid w:val="53A96396"/>
    <w:rsid w:val="56450527"/>
    <w:rsid w:val="71A37DE2"/>
    <w:rsid w:val="78553821"/>
    <w:rsid w:val="7F6D16CC"/>
    <w:rsid w:val="7F743B6E"/>
    <w:rsid w:val="7FC836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sz w:val="24"/>
      <w:szCs w:val="24"/>
      <w:lang w:val="en-US" w:eastAsia="en-US" w:bidi="en-US"/>
    </w:rPr>
  </w:style>
  <w:style w:type="paragraph" w:styleId="5">
    <w:name w:val="heading 1"/>
    <w:basedOn w:val="1"/>
    <w:next w:val="1"/>
    <w:qFormat/>
    <w:uiPriority w:val="9"/>
    <w:pPr>
      <w:keepNext/>
      <w:spacing w:before="240" w:after="60"/>
      <w:outlineLvl w:val="0"/>
    </w:pPr>
    <w:rPr>
      <w:rFonts w:ascii="Cambria" w:hAnsi="Cambria"/>
      <w:b/>
      <w:bCs/>
      <w:kern w:val="32"/>
      <w:sz w:val="32"/>
      <w:szCs w:val="32"/>
      <w:lang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pPr>
  </w:style>
  <w:style w:type="paragraph" w:styleId="3">
    <w:name w:val="Body Text Indent"/>
    <w:basedOn w:val="1"/>
    <w:next w:val="4"/>
    <w:qFormat/>
    <w:uiPriority w:val="0"/>
    <w:pPr>
      <w:spacing w:after="120"/>
      <w:ind w:left="420"/>
    </w:pPr>
    <w:rPr>
      <w:kern w:val="1"/>
    </w:rPr>
  </w:style>
  <w:style w:type="paragraph" w:styleId="4">
    <w:name w:val="toc 9"/>
    <w:basedOn w:val="1"/>
    <w:next w:val="1"/>
    <w:unhideWhenUsed/>
    <w:qFormat/>
    <w:uiPriority w:val="0"/>
    <w:rPr>
      <w:rFonts w:hint="eastAsia" w:hAnsi="Calibri"/>
      <w:sz w:val="24"/>
      <w:szCs w:val="24"/>
    </w:rPr>
  </w:style>
  <w:style w:type="paragraph" w:styleId="6">
    <w:name w:val="footer"/>
    <w:basedOn w:val="1"/>
    <w:qFormat/>
    <w:uiPriority w:val="0"/>
    <w:pPr>
      <w:tabs>
        <w:tab w:val="center" w:pos="4153"/>
        <w:tab w:val="right" w:pos="8306"/>
      </w:tabs>
      <w:jc w:val="left"/>
    </w:pPr>
    <w:rPr>
      <w:kern w:val="1"/>
      <w:sz w:val="18"/>
      <w:szCs w:val="18"/>
    </w:rPr>
  </w:style>
  <w:style w:type="paragraph" w:customStyle="1" w:styleId="9">
    <w:name w:val="reader-word-layer"/>
    <w:basedOn w:val="1"/>
    <w:qFormat/>
    <w:uiPriority w:val="0"/>
    <w:pPr>
      <w:widowControl/>
      <w:spacing w:before="100" w:beforeAutospacing="1" w:after="100" w:afterAutospacing="1"/>
      <w:jc w:val="left"/>
    </w:pPr>
    <w:rPr>
      <w:rFonts w:ascii="宋体" w:hAnsi="宋体" w:cs="宋体"/>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2425</Words>
  <Characters>2474</Characters>
  <Lines>0</Lines>
  <Paragraphs>0</Paragraphs>
  <TotalTime>15</TotalTime>
  <ScaleCrop>false</ScaleCrop>
  <LinksUpToDate>false</LinksUpToDate>
  <CharactersWithSpaces>2655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2022-03-13T07:09:00Z</dcterms:created>
  <dc:creator>小陈</dc:creator>
  <cp:lastModifiedBy>小陈</cp:lastModifiedBy>
  <cp:lastPrinted>2022-03-15T10:22:00Z</cp:lastPrinted>
  <dcterms:modified xsi:type="dcterms:W3CDTF">2022-04-09T02:14:05Z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070AD467BD70487CBC0DEAA6642FD7A6</vt:lpwstr>
  </property>
</Properties>
</file>