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534399042"/>
      <w:r>
        <w:t>二、唐山市疾病预防控制中心收支预算安排</w:t>
      </w:r>
      <w:bookmarkEnd w:id="0"/>
    </w:p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唐山市疾病预防控制中心职责任务与目标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pPr>
        <w:spacing w:line="360" w:lineRule="auto"/>
        <w:ind w:firstLine="2880" w:firstLineChars="90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主要职责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1、</w:t>
      </w:r>
      <w:r>
        <w:rPr>
          <w:rFonts w:ascii="宋体" w:hAnsi="宋体" w:eastAsia="宋体"/>
        </w:rPr>
        <w:t>制定和实施全市疾病预防控制规划、方案，对重大疾病流行趋势进行监测与预测预警</w:t>
      </w:r>
      <w:r>
        <w:rPr>
          <w:rFonts w:hint="eastAsia" w:ascii="宋体" w:hAnsi="宋体" w:eastAsia="宋体"/>
        </w:rPr>
        <w:t>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2、</w:t>
      </w:r>
      <w:r>
        <w:rPr>
          <w:rFonts w:ascii="宋体" w:hAnsi="宋体" w:eastAsia="宋体"/>
        </w:rPr>
        <w:t>指导和开展重大突发公共卫生事件调查与处置；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3、</w:t>
      </w:r>
      <w:r>
        <w:rPr>
          <w:rFonts w:ascii="宋体" w:hAnsi="宋体" w:eastAsia="宋体"/>
        </w:rPr>
        <w:t>开展病原微生物检验检测及毒物与污染物的检验鉴定，负责全市县（市）、区疾病预防控制中心实验室质量控制；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4、</w:t>
      </w:r>
      <w:r>
        <w:rPr>
          <w:rFonts w:ascii="宋体" w:hAnsi="宋体" w:eastAsia="宋体"/>
        </w:rPr>
        <w:t>建设市级网络信息平台，管理全市疫情及相关公共卫生信息网络；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5、</w:t>
      </w:r>
      <w:r>
        <w:rPr>
          <w:rFonts w:ascii="宋体" w:hAnsi="宋体" w:eastAsia="宋体"/>
        </w:rPr>
        <w:t>组织开展食品卫生、职业卫生、放射卫生和环境卫生等公共卫生领域健康危害因素监测、危险性评价和预警工作；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6、</w:t>
      </w:r>
      <w:r>
        <w:rPr>
          <w:rFonts w:ascii="宋体" w:hAnsi="宋体" w:eastAsia="宋体"/>
        </w:rPr>
        <w:t>承担唐山市职业病诊断、职业健康体检、饮食服务行业从业人员、在校学生等人群健康体检工作。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7、</w:t>
      </w:r>
      <w:r>
        <w:rPr>
          <w:rFonts w:ascii="宋体" w:hAnsi="宋体" w:eastAsia="宋体"/>
        </w:rPr>
        <w:t>指导全市健康教育与健康促进和社区卫生服务工作；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8、</w:t>
      </w:r>
      <w:r>
        <w:rPr>
          <w:rFonts w:ascii="宋体" w:hAnsi="宋体" w:eastAsia="宋体"/>
        </w:rPr>
        <w:t>开展对县（市）、区级疾病预防控制机构的业务指导、人员培训以及业务考核，规范指导辖区内医疗卫生机构传染病防治工作；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9、</w:t>
      </w:r>
      <w:r>
        <w:rPr>
          <w:rFonts w:ascii="宋体" w:hAnsi="宋体" w:eastAsia="宋体"/>
        </w:rPr>
        <w:t>开展疾病预防控制应用性科学研究，推广先进技术。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rPr>
          <w:rFonts w:ascii="宋体" w:hAnsi="宋体" w:eastAsia="宋体"/>
        </w:rPr>
      </w:pP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rPr>
          <w:rFonts w:ascii="宋体" w:hAnsi="宋体" w:eastAsia="宋体"/>
        </w:r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pPr>
        <w:tabs>
          <w:tab w:val="left" w:pos="120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</w:tabs>
        <w:spacing w:line="360" w:lineRule="auto"/>
        <w:ind w:firstLine="2240" w:firstLineChars="7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主要任务及目标规划</w:t>
      </w:r>
    </w:p>
    <w:p>
      <w:pPr>
        <w:tabs>
          <w:tab w:val="left" w:pos="120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1、</w:t>
      </w:r>
      <w:r>
        <w:rPr>
          <w:rFonts w:ascii="宋体" w:hAnsi="宋体" w:eastAsia="宋体"/>
        </w:rPr>
        <w:t>疾病预防与控制　开展疾病监测、研究传染病、寄生虫病、地方病、非传染性疾病等疾病的分布，探讨疾病的发生、发展的原因和流行规律；提供制订预防控制策略与措施的技术保障；组织实施疾病预防控制工作规划、计划和方案，预防控制相关疾病的发生与流行。</w:t>
      </w:r>
    </w:p>
    <w:p>
      <w:pPr>
        <w:tabs>
          <w:tab w:val="left" w:pos="120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2、</w:t>
      </w:r>
      <w:r>
        <w:rPr>
          <w:rFonts w:ascii="宋体" w:hAnsi="宋体" w:eastAsia="宋体"/>
        </w:rPr>
        <w:t>突发公共卫生事件 应急处置开展突发公共卫生事件处置和救灾防病的应急准备；对突发公共卫生事件、灾后疫病进行监测报告，提供预测预警信息；开展现场调查处置和效果评估。</w:t>
      </w:r>
    </w:p>
    <w:p>
      <w:pPr>
        <w:tabs>
          <w:tab w:val="left" w:pos="120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3、</w:t>
      </w:r>
      <w:r>
        <w:rPr>
          <w:rFonts w:ascii="宋体" w:hAnsi="宋体" w:eastAsia="宋体"/>
        </w:rPr>
        <w:t>疫情及健康相关因素信息管理管理 疾病预防控制信息系统，收集、报告、分析和评价疾病与健康危害因素等公共卫生信息，为疾病预防控制决策提供依据，为社会和公众提供信息服务。</w:t>
      </w:r>
    </w:p>
    <w:p>
      <w:pPr>
        <w:tabs>
          <w:tab w:val="left" w:pos="120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4、</w:t>
      </w:r>
      <w:r>
        <w:rPr>
          <w:rFonts w:ascii="宋体" w:hAnsi="宋体" w:eastAsia="宋体"/>
        </w:rPr>
        <w:t>健康危害因素监测与干预 开展食源性、职业性、辐射性、环境性疾病监测、调查处置和公众营养监测与评价；对生产、生活、工作、学习环境中影响人群健康的危害因素进行监测与评价，提出干预策略与措施，预防控制相关因素对人体健康的危害。</w:t>
      </w:r>
    </w:p>
    <w:p>
      <w:pPr>
        <w:tabs>
          <w:tab w:val="left" w:pos="120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5、</w:t>
      </w:r>
      <w:r>
        <w:rPr>
          <w:rFonts w:ascii="宋体" w:hAnsi="宋体" w:eastAsia="宋体"/>
        </w:rPr>
        <w:t>实验室检测检验与评价 研究、应用实验室检测与分析技术，开展传染性疾病病原，微生物的检测检验，开展中毒事件的毒物分析，开展疾病和健康危害因素的生物、物理、化学因子的检测、鉴定和评价，为突发公共卫生事件的应急处置、传染性疾病的诊断、疾病和健康相关危害因素的预防控制提供技术支撑，为社会提供技术服务。</w:t>
      </w:r>
    </w:p>
    <w:p>
      <w:pPr>
        <w:tabs>
          <w:tab w:val="left" w:pos="120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6、</w:t>
      </w:r>
      <w:r>
        <w:rPr>
          <w:rFonts w:ascii="宋体" w:hAnsi="宋体" w:eastAsia="宋体"/>
        </w:rPr>
        <w:t>健康教育与健康促进开展健康教育、健康促进；普及卫生防病知识，对公众进行健康指导；协同有关部门和组织，对公众不良健康行为进行干预，促进公众掌握自我保健与防护技能。</w:t>
      </w:r>
    </w:p>
    <w:p>
      <w:pPr>
        <w:tabs>
          <w:tab w:val="left" w:pos="120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</w:tabs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7、</w:t>
      </w:r>
      <w:r>
        <w:rPr>
          <w:rFonts w:ascii="宋体" w:hAnsi="宋体" w:eastAsia="宋体"/>
        </w:rPr>
        <w:t>技术管理与应用 研究指导开展疾病预防控制工作业务与技术培训，提供技术指导、技术支持和技术服务；开展应用性研究，开发引进和推广应用新技术、新方法；指导和开展疾病预防控制工作绩效考核与评估。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  <w:rPr>
          <w:rFonts w:ascii="宋体" w:hAnsi="宋体" w:eastAsia="宋体"/>
        </w:r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5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617004唐山市疾病预防控制中心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2603.05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2603.05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2603.05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2603.05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2034.29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1893.4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140.89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289.76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254.76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5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617004唐山市疾病预防控制中心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2034.29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2034.29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1893.40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1893.40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585.27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585.27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156.33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156.33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31.80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31.80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89.23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89.23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32.47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32.47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477.67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477.67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224.89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224.89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79.32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79.32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152.34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152.34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6.50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6.50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134.94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134.94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539.19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539.19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343.38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343.38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147.04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147.04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48.77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140.89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140.89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16.99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16.99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3.78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3.78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1.38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116.16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116.16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78.67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78.67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30.96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30.96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6.53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6.53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4.08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3.30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3.30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5"/>
        <w:tblW w:w="140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992"/>
        <w:gridCol w:w="993"/>
        <w:gridCol w:w="992"/>
        <w:gridCol w:w="1134"/>
        <w:gridCol w:w="992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617004唐山市疾病预防控制中心</w:t>
            </w:r>
          </w:p>
        </w:tc>
        <w:tc>
          <w:tcPr>
            <w:tcW w:w="85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0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254.64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254.76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88.05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88.05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7.82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7.82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6.14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6.14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6.14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6.14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23.40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23.40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10.74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10.74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38.40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71.59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71.71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16.14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16.14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21.51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21.51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14.63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14.63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17.67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17.67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9.82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9.82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5.24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5.24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95.00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55.00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单位专项项目支出安排表</w:t>
      </w:r>
    </w:p>
    <w:tbl>
      <w:tblPr>
        <w:tblStyle w:val="5"/>
        <w:tblW w:w="1408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7"/>
        <w:gridCol w:w="188"/>
        <w:gridCol w:w="1652"/>
        <w:gridCol w:w="707"/>
        <w:gridCol w:w="850"/>
        <w:gridCol w:w="876"/>
        <w:gridCol w:w="1132"/>
        <w:gridCol w:w="1132"/>
        <w:gridCol w:w="1132"/>
        <w:gridCol w:w="991"/>
        <w:gridCol w:w="11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tblHeader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617004唐山市疾病预防控制中心</w:t>
            </w:r>
          </w:p>
        </w:tc>
        <w:tc>
          <w:tcPr>
            <w:tcW w:w="96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  <w:tblHeader/>
        </w:trPr>
        <w:tc>
          <w:tcPr>
            <w:tcW w:w="42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8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64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大类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小类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专项项目经费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279.00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279.00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食品安全风险体系建设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02-大型专项购置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0201 专用设备购置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279.00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279.00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5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617004唐山市疾病预防控制中心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40.16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40.16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38.40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38.40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38.40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38.40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16.14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16.14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56.30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56.30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单位专项公用经费支出安排表</w:t>
      </w:r>
    </w:p>
    <w:tbl>
      <w:tblPr>
        <w:tblStyle w:val="5"/>
        <w:tblW w:w="1408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3127"/>
        <w:gridCol w:w="1231"/>
        <w:gridCol w:w="1276"/>
        <w:gridCol w:w="1417"/>
        <w:gridCol w:w="1560"/>
        <w:gridCol w:w="1134"/>
        <w:gridCol w:w="1134"/>
        <w:gridCol w:w="1168"/>
      </w:tblGrid>
      <w:tr>
        <w:tblPrEx>
          <w:tblLayout w:type="fixed"/>
        </w:tblPrEx>
        <w:trPr>
          <w:cantSplit/>
          <w:trHeight w:val="359" w:hRule="atLeast"/>
          <w:tblHeader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617004唐山市疾病预防控制中心</w:t>
            </w:r>
          </w:p>
        </w:tc>
        <w:tc>
          <w:tcPr>
            <w:tcW w:w="892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tblHeader/>
        </w:trPr>
        <w:tc>
          <w:tcPr>
            <w:tcW w:w="2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4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76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专项公用经费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2100401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大楼物业管理费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5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617004唐山市疾病预防控制中心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副处级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5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617004唐山市疾病预防控制中心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16114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唐山市疾病预防控制中心收支预算说明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单位专项公用经费安排说明</w:t>
      </w:r>
    </w:p>
    <w:tbl>
      <w:tblPr>
        <w:tblStyle w:val="5"/>
        <w:tblW w:w="14174" w:type="dxa"/>
        <w:jc w:val="center"/>
        <w:tblInd w:w="-23" w:type="dxa"/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09"/>
        <w:gridCol w:w="2268"/>
        <w:gridCol w:w="1418"/>
        <w:gridCol w:w="247"/>
        <w:gridCol w:w="8432"/>
      </w:tblGrid>
      <w:tr>
        <w:tblPrEx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742" w:type="dxa"/>
            <w:gridSpan w:val="4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617004唐山市疾病预防控制中心</w:t>
            </w:r>
          </w:p>
        </w:tc>
        <w:tc>
          <w:tcPr>
            <w:tcW w:w="843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项目编码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项目总计</w:t>
            </w:r>
          </w:p>
        </w:tc>
        <w:tc>
          <w:tcPr>
            <w:tcW w:w="8679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项目文本说明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61700418GZX0001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大楼物业管理费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大楼正常运转目前要求较以前条件明显增加，高压电工、低压电工、消防巡检人员要求持证上岗，且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24小时三班值守，另外维修工、保安保洁等员工需求量大，费用支出需求高，现有标准不能满足正常运转，费用需调整到60万：消防监控6人，每人2000元，月合计12000元，年合计144000元。（每班双人值守，24小时值班，依据《消防控制室通用技术要求》）；高低压值班6人，每人3000元，月合计18000元，年合计216000元；门卫3人，每人1650元，月合计4950元，年合计59400元；大楼清扫绿化6人，月工资1650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元，月合计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9900元，年合计118800元；中央空调3人，月工资1650元，月合计4950元，年合计59400元。共计59.76万元。</w:t>
            </w:r>
          </w:p>
        </w:tc>
      </w:tr>
    </w:tbl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7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>
      <w:pPr>
        <w:ind w:firstLine="420" w:firstLineChars="200"/>
      </w:pPr>
      <w:r>
        <w:rPr>
          <w:rFonts w:hint="eastAsia"/>
        </w:rPr>
        <w:t>鉴于国家食品安全监测在监测项目上不断增加、监测覆盖率不断提高，监测单位的仪器设备不足与老化情况日益突出。为及时完成食品安全监测任务，国家发改委和卫计委下拨了专项资金用于解决监测单位的实际困难。我单位是国家食品安全监测网点单位之一，也是河北省“食品安全风险监测分中心”，在监测仪器设备上同样存在不足与老化并存困难。为此，向国家申请此项资金并得到支持和批准。我单位前期已申请食品安全监测能力建设资金1628万元，由中央财政负担60%（976万元），地方配套40%（652万元）。上一年度财政已配套450万元，我们已完成大部分项目任务，只有两台设备未完成采购，设备尾款未支付。2019年度需财政继续安排资金304.48万元，确保项目全部完成。</w:t>
      </w:r>
    </w:p>
    <w:p>
      <w:pPr>
        <w:ind w:firstLine="420" w:firstLineChars="200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预购置下列29台（套）监测仪器设备：1、固相萃取装置；2、原子吸收光谱仪（石墨炉原子吸收仪、火焰光度吸收仪各1台）；3、气相色谱-质谱联用仪；4、离子色谱仪；5、微波消解仪；6、脉冲场凝胶电泳；7、实时荧光定量PCR仪；8、上转发光微生物免疫分析仪； 9、-20℃冰箱（4台）；10、全自动固相萃取仪；11、调速振荡器（2台）；12、恒温振荡水浴装置；13、全自动消解装置；14、旋转蒸发仪；15、干燥箱；16、样品柜（低于4度，4台）；17、顶空进样器、全自动液体进样气相色谱仪；18、液相—飞行时间质谱；19、三重四级杆串接液相色谱质谱仪； 20、电感耦合等离子发射光谱仪；21、手持式采样定位仪。以上设备就是此次项目需要购置的设备，项目总投资1628万元，中央配套资金976万元，地方配套652万元，用于购买以上设备从而保障项目顺利完成。2018年只有气相色谱-质谱联用仪、脉冲场凝胶电泳未完成采购，其</w:t>
      </w:r>
      <w:bookmarkStart w:id="1" w:name="_GoBack"/>
      <w:bookmarkEnd w:id="1"/>
      <w:r>
        <w:rPr>
          <w:rFonts w:hint="eastAsia"/>
        </w:rPr>
        <w:t>余设备已全部采购，2019年我们将完成全部</w:t>
      </w:r>
    </w:p>
    <w:p/>
    <w:p/>
    <w:sectPr>
      <w:head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4772A"/>
    <w:rsid w:val="1A8727AF"/>
    <w:rsid w:val="3A6F66A1"/>
    <w:rsid w:val="5966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安东尼的不二</cp:lastModifiedBy>
  <dcterms:modified xsi:type="dcterms:W3CDTF">2019-02-12T01:56:26Z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