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55"/>
      <w:r>
        <w:t>一十五、唐山市第四医院收支预算安排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唐山市第四医院职责任务与目标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3520" w:firstLineChars="11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hint="eastAsia" w:ascii="宋体" w:hAnsi="宋体" w:eastAsia="宋体"/>
        </w:rPr>
        <w:t>1、</w:t>
      </w:r>
      <w:r>
        <w:rPr>
          <w:rFonts w:ascii="宋体" w:hAnsi="宋体" w:eastAsia="宋体"/>
        </w:rPr>
        <w:t>贯彻落实卫生法律、法规和部门规章制度，坚持以科学发展观为指导，以“病人为中心”，以提高医疗服务质量为主题，提高服务意识，改善服务态度，转变服务作风，注重诚信服务，增进医患沟通，构建和谐医患关系，把维护群众利益，保证医疗质量和医疗安全，优化执业环境作为主要内容。以提高医疗护理质量，降低医药费用，改进服务流程，改善就医环境，方便病人就医，树立“健康第一、患者第一”的思想，为提高全市人民的健康水平服务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2、为全市人民的身体健康提供医疗与护理保健服务。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3、在卫生行政主管部门的领导下，负责并配合做好全市突发事件的医疗救援任务。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4、贯彻执行传染病预防和管理工作，并做好各种常见病和多发病的诊断治疗工作。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5、负责配合做好全市卫生专业技术人员的教学和培训工作。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6、做好医院医疗安全、护理安全、消防安全、环境卫生、饮食卫生等工作。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7、做好学生和其他人员的健康体检任务。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200"/>
        <w:jc w:val="left"/>
      </w:pPr>
      <w:r>
        <w:rPr>
          <w:rFonts w:ascii="宋体" w:hAnsi="宋体" w:eastAsia="宋体"/>
        </w:rPr>
        <w:t xml:space="preserve">  8、做好城镇职工基本医疗保险的诊治工作。</w:t>
      </w:r>
    </w:p>
    <w:p>
      <w:pPr>
        <w:pStyle w:val="6"/>
        <w:rPr>
          <w:sz w:val="21"/>
          <w:lang w:eastAsia="zh-CN"/>
        </w:r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3200" w:firstLineChars="10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主要任务及目标规划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t>1</w:t>
      </w:r>
      <w:r>
        <w:rPr>
          <w:rFonts w:ascii="宋体" w:hAnsi="宋体" w:eastAsia="宋体"/>
        </w:rPr>
        <w:t>、建设和完善结核病专科医院的长效运行机制，在运行的基础上进行进一步的整改和加强。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（1）进一步加强核心医疗管理制度的执行力度，以此为抓手，全面提高医疗水平和医疗质量。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（2）严格按照国家卫生部有关临床路径的规定要求，做好临床路径的科科室规范化管理，尤其是加强抗生素使用的控制力度。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（3）及时完善各种台帐的补充和管理。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（4）加强</w:t>
      </w:r>
      <w:r>
        <w:t>“</w:t>
      </w:r>
      <w:r>
        <w:rPr>
          <w:rFonts w:ascii="宋体" w:hAnsi="宋体" w:eastAsia="宋体"/>
        </w:rPr>
        <w:t>三基</w:t>
      </w:r>
      <w:r>
        <w:t>”</w:t>
      </w:r>
      <w:r>
        <w:rPr>
          <w:rFonts w:ascii="宋体" w:hAnsi="宋体" w:eastAsia="宋体"/>
        </w:rPr>
        <w:t>、</w:t>
      </w:r>
      <w:r>
        <w:t>“</w:t>
      </w:r>
      <w:r>
        <w:rPr>
          <w:rFonts w:ascii="宋体" w:hAnsi="宋体" w:eastAsia="宋体"/>
        </w:rPr>
        <w:t>三严</w:t>
      </w:r>
      <w:r>
        <w:t>”</w:t>
      </w:r>
      <w:r>
        <w:rPr>
          <w:rFonts w:ascii="宋体" w:hAnsi="宋体" w:eastAsia="宋体"/>
        </w:rPr>
        <w:t>训练，提高职工的基本素质。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2、以创建一流结核病专科医院为目标，整体推进医院的学科建设，努力提高科研水平、教学水平、论文质量，丰富医院的技术内涵建设。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3、进一步加大院科两级责任制的管理力度，把科主任、护士长的目标责任考核落到实处。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（1）健全院科两级负责管理，明确科主任的任期目标和责权利管理。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（2）完善科主任、护士长目标责任考核，调动科主任、护士长的积极性。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（3）对部分科主任、护士长岗位实行竞争上岗，对部分科主任、护士长进行调整。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4、加大人事分配制度改革力度，利用经济杠杆，充分调动职工群众的积极性。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（1）定岗定编，以事设岗，以岗定酬。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（2）改革分配制度，在体现岗位贡献的基础上，充分体现</w:t>
      </w:r>
      <w:r>
        <w:t>“</w:t>
      </w:r>
      <w:r>
        <w:rPr>
          <w:rFonts w:ascii="宋体" w:hAnsi="宋体" w:eastAsia="宋体"/>
        </w:rPr>
        <w:t>多劳多得、少劳少得</w:t>
      </w:r>
      <w:r>
        <w:t>”</w:t>
      </w:r>
      <w:r>
        <w:rPr>
          <w:rFonts w:ascii="宋体" w:hAnsi="宋体" w:eastAsia="宋体"/>
        </w:rPr>
        <w:t>和</w:t>
      </w:r>
      <w:r>
        <w:t>“</w:t>
      </w:r>
      <w:r>
        <w:rPr>
          <w:rFonts w:ascii="宋体" w:hAnsi="宋体" w:eastAsia="宋体"/>
        </w:rPr>
        <w:t>兼顾公平</w:t>
      </w:r>
      <w:r>
        <w:t>”</w:t>
      </w:r>
      <w:r>
        <w:rPr>
          <w:rFonts w:ascii="宋体" w:hAnsi="宋体" w:eastAsia="宋体"/>
        </w:rPr>
        <w:t>的原则。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（3）按照国家规定，启动</w:t>
      </w:r>
      <w:r>
        <w:t>“</w:t>
      </w:r>
      <w:r>
        <w:rPr>
          <w:rFonts w:ascii="宋体" w:hAnsi="宋体" w:eastAsia="宋体"/>
        </w:rPr>
        <w:t>绩效工资</w:t>
      </w:r>
      <w:r>
        <w:t>”</w:t>
      </w:r>
      <w:r>
        <w:rPr>
          <w:rFonts w:ascii="宋体" w:hAnsi="宋体" w:eastAsia="宋体"/>
        </w:rPr>
        <w:t>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5、启动全成本核算，推行精细化成本运营管理，提高经济效益。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（1）全院启动全成本核算，厉行节约，反对浪费，挖掘潜力，提高效益。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（2）利用全成本核算的契机，推进医院的精细化管理，全面提升运营的管理水平。降低运行成本。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6、加大亚学科、边缘性学科建设，扩大医院的业务服务范围。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（1）派出医护专门人员赴有关医院学习和考察，专攻亚学科、边缘性学科的项目。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（2）重点突出2-3个亚学科项目建设，逐渐做出规模。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（3）选准5个左右的边缘性学科服务项目，扩大服务项目</w:t>
      </w:r>
      <w:r>
        <w:t> </w:t>
      </w:r>
      <w:r>
        <w:rPr>
          <w:rFonts w:ascii="宋体" w:hAnsi="宋体" w:eastAsia="宋体"/>
        </w:rPr>
        <w:t>和范围。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（4）在服务的范围和力度上下功夫，护理部要以此为抓手推进工作。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7、进一步理顺医院内部采、供和保障关系，完善各种物品、商品、一次性物品的招投标程序。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（1）进一步健全组织体系，完善运行程序。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（2）加强监督、检查和指导，规范运行。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rPr>
          <w:rFonts w:ascii="宋体" w:hAnsi="宋体" w:eastAsia="宋体"/>
        </w:rPr>
        <w:t>8、以创建国家级文明单位为抓手，全面推动医院内部各项管理工作，对内对外宣传和医院文化建设。</w:t>
      </w:r>
    </w:p>
    <w:p>
      <w:pPr>
        <w:pStyle w:val="6"/>
        <w:rPr>
          <w:rFonts w:ascii="Times New Roman" w:hAnsi="Times New Roman" w:eastAsia="Times New Roman"/>
          <w:sz w:val="21"/>
          <w:lang w:eastAsia="zh-CN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617018唐山市第四医院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4078.63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4078.63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4078.63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4078.63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2679.71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2602.44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77.27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1398.92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393.57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1005.35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617018唐山市第四医院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2679.71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2679.71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2602.44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2602.44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731.63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731.63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200.06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36.20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36.20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116.21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116.21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42.28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42.28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5.37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5.37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5.37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5.37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716.40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716.40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301.07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301.07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120.43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120.43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105.37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105.37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166.62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166.62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8.61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8.61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10.54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10.54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3.76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3.76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180.64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180.64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773.71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773.71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498.91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498.91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213.83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213.83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60.97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60.97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77.27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77.27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5.18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1.93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1.93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2.54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71.20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71.20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48.52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48.52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19.58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19.58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3.10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617018唐山市第四医院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393.57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393.57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80.57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80.57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28.89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28.89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18.29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18.29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5.79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617018唐山市第四医院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12.06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33.73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33.73</w:t>
            </w: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5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617018唐山市第四医院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1005.35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1005.35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专用材料购置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药品购置费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固定资产购置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补办环评手续、污许可证及部分环境硬化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劳务派遣人员经费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617018唐山市第四医院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正科级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617018唐山市第四医院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4645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唐山市第四医院收支预算说明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5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617018唐山市第四医院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1005.35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61701817GGZ0008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专用材料购置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我院日常业务需要专用材料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61701817GGZ0009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药品购置费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我院日常业务需要药品保障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61701819GGZ0010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固定资产购置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我院经营发展需要购置固定资产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61701819GXS0011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补办环评手续、污许可证及部分环境硬化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保障我院合理合法合规运营补办环评手续、污许可证及部分环境硬化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61701819GZX0001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劳务派遣人员经费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我院因业务需要聘请劳务派遣人员．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4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A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customStyle="1" w:styleId="6">
    <w:name w:val="[Normal]"/>
    <w:qFormat/>
    <w:uiPriority w:val="0"/>
    <w:rPr>
      <w:rFonts w:ascii="宋体" w:hAnsi="宋体" w:eastAsia="宋体" w:cs="Times New Roman"/>
      <w:kern w:val="0"/>
      <w:sz w:val="24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2019-02-12T02:51:04Z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