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0" w:name="_Toc534399043"/>
      <w:r>
        <w:rPr>
          <w:rFonts w:hint="eastAsia"/>
          <w:lang w:val="en-US" w:eastAsia="zh-CN"/>
        </w:rPr>
        <w:t>三、</w:t>
      </w:r>
      <w:r>
        <w:rPr>
          <w:rFonts w:hint="eastAsia"/>
          <w:lang w:eastAsia="zh-CN"/>
        </w:rPr>
        <w:t>唐山市卫生和计划生育委员会综合监督执法局</w:t>
      </w:r>
      <w:r>
        <w:t>收支预算安排</w:t>
      </w:r>
      <w:bookmarkEnd w:id="0"/>
    </w:p>
    <w:p>
      <w:pPr>
        <w:jc w:val="center"/>
        <w:rPr>
          <w:rFonts w:ascii="宋体" w:hAnsi="宋体" w:eastAsia="宋体"/>
          <w:b/>
          <w:color w:val="000000"/>
          <w:sz w:val="44"/>
        </w:rPr>
      </w:pPr>
      <w:r>
        <w:rPr>
          <w:rFonts w:hint="eastAsia" w:ascii="宋体" w:hAnsi="宋体" w:eastAsia="宋体"/>
          <w:b/>
          <w:color w:val="000000"/>
          <w:sz w:val="44"/>
          <w:lang w:eastAsia="zh-CN"/>
        </w:rPr>
        <w:t>唐山市卫生</w:t>
      </w:r>
      <w:r>
        <w:rPr>
          <w:rFonts w:hint="eastAsia" w:ascii="宋体" w:hAnsi="宋体" w:eastAsia="宋体"/>
          <w:b/>
          <w:color w:val="000000"/>
          <w:sz w:val="44"/>
          <w:lang w:val="en-US" w:eastAsia="zh-CN"/>
        </w:rPr>
        <w:t>和计划生育委员会</w:t>
      </w:r>
      <w:r>
        <w:rPr>
          <w:rFonts w:hint="eastAsia" w:ascii="宋体" w:hAnsi="宋体" w:eastAsia="宋体"/>
          <w:b/>
          <w:color w:val="000000"/>
          <w:sz w:val="44"/>
        </w:rPr>
        <w:t>综合监督执法局职责任务与目标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rPr>
          <w:rFonts w:ascii="宋体" w:hAnsi="宋体"/>
          <w:sz w:val="32"/>
          <w:szCs w:val="32"/>
        </w:rPr>
      </w:pPr>
      <w:r>
        <w:rPr>
          <w:rFonts w:hint="eastAsia" w:ascii="宋体" w:hAnsi="宋体"/>
        </w:rPr>
        <w:t xml:space="preserve">                            </w:t>
      </w:r>
      <w:r>
        <w:rPr>
          <w:rFonts w:hint="eastAsia" w:ascii="宋体" w:hAnsi="宋体"/>
          <w:sz w:val="32"/>
          <w:szCs w:val="32"/>
        </w:rPr>
        <w:t>主要职责</w:t>
      </w:r>
    </w:p>
    <w:p>
      <w:pPr>
        <w:numPr>
          <w:ilvl w:val="0"/>
          <w:numId w:val="1"/>
        </w:numPr>
        <w:rPr>
          <w:rFonts w:ascii="宋体" w:hAnsi="宋体"/>
        </w:rPr>
      </w:pPr>
      <w:r>
        <w:rPr>
          <w:rFonts w:hint="eastAsia" w:ascii="宋体" w:hAnsi="宋体"/>
        </w:rPr>
        <w:t>依照国家法律、法规及规章、标准，对辖区内的消毒产品、生活饮用水及涉及饮用水卫生安全产品、公共场所、职业、放射、学校卫生、传染病防治等工作进行监督管理和综合性卫生监督执法，并依法监督医疗机构和采供血机构及其执业人员的执业活动，整顿和规范医疗服务市场，打击非法行医和非法采供血行为；</w:t>
      </w:r>
    </w:p>
    <w:p>
      <w:pPr>
        <w:numPr>
          <w:ilvl w:val="0"/>
          <w:numId w:val="1"/>
        </w:numPr>
        <w:rPr>
          <w:rFonts w:ascii="宋体" w:hAnsi="宋体"/>
        </w:rPr>
      </w:pPr>
      <w:r>
        <w:rPr>
          <w:rFonts w:hint="eastAsia" w:ascii="宋体" w:hAnsi="宋体"/>
        </w:rPr>
        <w:t>组织拟定卫生监督执法工作计划，并进行实施；</w:t>
      </w:r>
    </w:p>
    <w:p>
      <w:pPr>
        <w:numPr>
          <w:ilvl w:val="0"/>
          <w:numId w:val="1"/>
        </w:numPr>
        <w:rPr>
          <w:rFonts w:ascii="宋体" w:hAnsi="宋体"/>
        </w:rPr>
      </w:pPr>
      <w:r>
        <w:rPr>
          <w:rFonts w:hint="eastAsia" w:ascii="宋体" w:hAnsi="宋体"/>
        </w:rPr>
        <w:t>组织卫生监督执法检查，定期上报抽检结果；</w:t>
      </w:r>
    </w:p>
    <w:p>
      <w:pPr>
        <w:numPr>
          <w:ilvl w:val="0"/>
          <w:numId w:val="1"/>
        </w:numPr>
        <w:rPr>
          <w:rFonts w:ascii="宋体" w:hAnsi="宋体"/>
        </w:rPr>
      </w:pPr>
      <w:r>
        <w:rPr>
          <w:rFonts w:hint="eastAsia" w:ascii="宋体" w:hAnsi="宋体"/>
        </w:rPr>
        <w:t>协助卫生行政部门定期向社会通报卫生监督结果；</w:t>
      </w:r>
    </w:p>
    <w:p>
      <w:pPr>
        <w:numPr>
          <w:ilvl w:val="0"/>
          <w:numId w:val="1"/>
        </w:numPr>
        <w:rPr>
          <w:rFonts w:ascii="宋体" w:hAnsi="宋体"/>
        </w:rPr>
      </w:pPr>
      <w:r>
        <w:rPr>
          <w:rFonts w:hint="eastAsia" w:ascii="宋体" w:hAnsi="宋体"/>
        </w:rPr>
        <w:t>负责卫生监督信息的收集、整理、分析和报告；</w:t>
      </w:r>
    </w:p>
    <w:p>
      <w:pPr>
        <w:numPr>
          <w:ilvl w:val="0"/>
          <w:numId w:val="1"/>
        </w:numPr>
        <w:rPr>
          <w:rFonts w:ascii="宋体" w:hAnsi="宋体"/>
        </w:rPr>
      </w:pPr>
      <w:r>
        <w:rPr>
          <w:rFonts w:hint="eastAsia" w:ascii="宋体" w:hAnsi="宋体"/>
        </w:rPr>
        <w:t>负责对卫生监督员法律知识和业务的培训工作；</w:t>
      </w:r>
    </w:p>
    <w:p>
      <w:pPr>
        <w:numPr>
          <w:ilvl w:val="0"/>
          <w:numId w:val="1"/>
        </w:numPr>
        <w:rPr>
          <w:rFonts w:ascii="宋体" w:hAnsi="宋体"/>
        </w:rPr>
      </w:pPr>
      <w:r>
        <w:rPr>
          <w:rFonts w:hint="eastAsia" w:ascii="宋体" w:hAnsi="宋体"/>
        </w:rPr>
        <w:t>负责对卫生监督执法的投诉、举报的受理和查处工作；</w:t>
      </w:r>
    </w:p>
    <w:p>
      <w:pPr>
        <w:numPr>
          <w:ilvl w:val="0"/>
          <w:numId w:val="1"/>
        </w:numPr>
        <w:rPr>
          <w:rFonts w:ascii="宋体" w:hAnsi="宋体"/>
        </w:rPr>
      </w:pPr>
      <w:r>
        <w:rPr>
          <w:rFonts w:hint="eastAsia" w:ascii="宋体" w:hAnsi="宋体"/>
        </w:rPr>
        <w:t>开展卫生法律法规知识的宣传教育和咨询；</w:t>
      </w:r>
    </w:p>
    <w:p>
      <w:pPr>
        <w:numPr>
          <w:ilvl w:val="0"/>
          <w:numId w:val="1"/>
        </w:numPr>
        <w:rPr>
          <w:rFonts w:ascii="宋体" w:hAnsi="宋体"/>
        </w:rPr>
      </w:pPr>
      <w:r>
        <w:rPr>
          <w:rFonts w:hint="eastAsia" w:ascii="宋体" w:hAnsi="宋体"/>
        </w:rPr>
        <w:t>对新建、扩建、改建工作的选址、设计进行卫生审查和竣工验收；</w:t>
      </w:r>
    </w:p>
    <w:p>
      <w:pPr>
        <w:rPr>
          <w:rFonts w:ascii="宋体" w:hAnsi="宋体"/>
        </w:rPr>
      </w:pPr>
      <w:r>
        <w:rPr>
          <w:rFonts w:hint="eastAsia" w:ascii="宋体" w:hAnsi="宋体"/>
        </w:rPr>
        <w:t>10、同时承担着法律、法规规定的其他职责。</w:t>
      </w:r>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tabs>
          <w:tab w:val="left" w:pos="360"/>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s>
        <w:spacing w:line="360" w:lineRule="auto"/>
        <w:ind w:firstLine="2720" w:firstLineChars="850"/>
        <w:rPr>
          <w:rFonts w:ascii="黑体" w:hAnsi="黑体" w:eastAsia="黑体" w:cs="仿宋_GB2312"/>
          <w:sz w:val="32"/>
          <w:szCs w:val="32"/>
        </w:rPr>
      </w:pPr>
      <w:r>
        <w:rPr>
          <w:rFonts w:hint="eastAsia" w:ascii="黑体" w:hAnsi="黑体" w:eastAsia="黑体" w:cs="仿宋_GB2312"/>
          <w:sz w:val="32"/>
          <w:szCs w:val="32"/>
        </w:rPr>
        <w:t>主要任务及目标规划</w:t>
      </w:r>
    </w:p>
    <w:p>
      <w:pPr>
        <w:tabs>
          <w:tab w:val="left" w:pos="360"/>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s>
        <w:spacing w:line="360" w:lineRule="auto"/>
        <w:rPr>
          <w:rFonts w:ascii="宋体" w:hAnsi="宋体" w:eastAsia="宋体"/>
        </w:rPr>
      </w:pPr>
      <w:r>
        <w:rPr>
          <w:rFonts w:ascii="宋体" w:hAnsi="宋体" w:eastAsia="宋体"/>
        </w:rPr>
        <w:t>　</w:t>
      </w:r>
      <w:r>
        <w:rPr>
          <w:rFonts w:hint="eastAsia" w:ascii="宋体" w:hAnsi="宋体" w:eastAsia="宋体"/>
        </w:rPr>
        <w:t xml:space="preserve">  一、</w:t>
      </w:r>
      <w:r>
        <w:rPr>
          <w:rFonts w:ascii="宋体" w:hAnsi="宋体" w:eastAsia="宋体"/>
        </w:rPr>
        <w:t>　主要任务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hint="eastAsia" w:ascii="宋体" w:hAnsi="宋体" w:eastAsia="宋体"/>
        </w:rPr>
        <w:t>1</w:t>
      </w:r>
      <w:r>
        <w:rPr>
          <w:rFonts w:ascii="宋体" w:hAnsi="宋体" w:eastAsia="宋体"/>
        </w:rPr>
        <w:t>、公共卫生监督</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（１）对消毒产品、生活饮用水、涉及饮用水卫生安全产品及其他健康相关产品的卫生及其生产经营活动进行卫生监督检查（频次为两次每年）。查处违法行为；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（２）对公共场所的卫生条件及其从业人员的健康管理进行卫生监督检查（频次为两次每年），查处违法行为；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（３）对使用射线装置的工作场所的防护情况进行卫生监督检查，查处违法行为；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（４）对用人单位开展职业健康监护情况进行卫生监督检查（频次为一至两次每年），查处违法行为；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（５）对建设项目执行职业病危害评价制度情况进行卫生监督检查，查处违法行为。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hint="eastAsia" w:ascii="宋体" w:hAnsi="宋体" w:eastAsia="宋体"/>
        </w:rPr>
        <w:t>2</w:t>
      </w:r>
      <w:r>
        <w:rPr>
          <w:rFonts w:ascii="宋体" w:hAnsi="宋体" w:eastAsia="宋体"/>
        </w:rPr>
        <w:t>、医疗卫生监督</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１）对医疗机构的执业资格、执业范围及其医务人员的执业资格、执业注册进行监督检查，规范医疗服务行为，打击非法行医；对医疗机构的传染病疫情报告、疫情控制措施、消毒隔离制度执行情况和医疗废物处置情况进行监督检查（频次为四次每年），查处违法行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（２）对采供血机构的执业资格、执业范围及其从业人员的资格进行监督检查，打击非法采供血行为；对采供血机构的采供血活动、传染病疫情报告和医疗废物处置情况进行监督检查，查处违法行为。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（３）对疾病预防控制机构的传染病疫情报告、预防控制措施和菌（毒）种管理情况进行监督检查，查处违法行为。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hint="eastAsia" w:ascii="宋体" w:hAnsi="宋体" w:eastAsia="宋体"/>
        </w:rPr>
        <w:t>3</w:t>
      </w:r>
      <w:r>
        <w:rPr>
          <w:rFonts w:ascii="宋体" w:hAnsi="宋体" w:eastAsia="宋体"/>
        </w:rPr>
        <w:t>、其他</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（１）负责辖区内卫生监督信息的收集、核实和汇总，向新闻媒体发送通报卫生监督结果或向上级报告；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w:t>
      </w:r>
      <w:r>
        <w:rPr>
          <w:rFonts w:hint="eastAsia" w:ascii="宋体" w:hAnsi="宋体" w:eastAsia="宋体"/>
        </w:rPr>
        <w:t>２</w:t>
      </w:r>
      <w:r>
        <w:rPr>
          <w:rFonts w:ascii="宋体" w:hAnsi="宋体" w:eastAsia="宋体"/>
        </w:rPr>
        <w:t>）负责对社会卫生相关违规、违法现象投诉、举报的受理和查处工作；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w:t>
      </w:r>
      <w:r>
        <w:rPr>
          <w:rFonts w:hint="eastAsia" w:ascii="宋体" w:hAnsi="宋体" w:eastAsia="宋体"/>
        </w:rPr>
        <w:t>３</w:t>
      </w:r>
      <w:r>
        <w:rPr>
          <w:rFonts w:ascii="宋体" w:hAnsi="宋体" w:eastAsia="宋体"/>
        </w:rPr>
        <w:t>）开展卫生法律法规宣传教育；</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w:t>
      </w:r>
      <w:r>
        <w:rPr>
          <w:rFonts w:hint="eastAsia" w:ascii="宋体" w:hAnsi="宋体" w:eastAsia="宋体"/>
        </w:rPr>
        <w:t>４</w:t>
      </w:r>
      <w:r>
        <w:rPr>
          <w:rFonts w:ascii="宋体" w:hAnsi="宋体" w:eastAsia="宋体"/>
        </w:rPr>
        <w:t>）协助市卫生</w:t>
      </w:r>
      <w:r>
        <w:rPr>
          <w:rFonts w:hint="eastAsia" w:ascii="宋体" w:hAnsi="宋体" w:eastAsia="宋体"/>
        </w:rPr>
        <w:t>计生委</w:t>
      </w:r>
      <w:r>
        <w:rPr>
          <w:rFonts w:ascii="宋体" w:hAnsi="宋体" w:eastAsia="宋体"/>
        </w:rPr>
        <w:t>开展专业检测及体检机构和人员资质的认证工作；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w:t>
      </w:r>
      <w:r>
        <w:rPr>
          <w:rFonts w:hint="eastAsia" w:ascii="宋体" w:hAnsi="宋体" w:eastAsia="宋体"/>
        </w:rPr>
        <w:t>５</w:t>
      </w:r>
      <w:r>
        <w:rPr>
          <w:rFonts w:ascii="宋体" w:hAnsi="宋体" w:eastAsia="宋体"/>
        </w:rPr>
        <w:t>）承担卫生抽检任务，组织实施直管单位的卫生监督抽检工作及健康相关产品和场所的采样、现场卫生质量快速测定工作。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w:t>
      </w:r>
      <w:r>
        <w:rPr>
          <w:rFonts w:hint="eastAsia" w:ascii="宋体" w:hAnsi="宋体" w:eastAsia="宋体"/>
        </w:rPr>
        <w:t>６</w:t>
      </w:r>
      <w:r>
        <w:rPr>
          <w:rFonts w:ascii="宋体" w:hAnsi="宋体" w:eastAsia="宋体"/>
        </w:rPr>
        <w:t>）对卫生污染、中毒事故等重大、突发事件等进行调查取证，采取必要的控制措施，提出处理意见；</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w:t>
      </w:r>
      <w:r>
        <w:rPr>
          <w:rFonts w:hint="eastAsia" w:ascii="宋体" w:hAnsi="宋体" w:eastAsia="宋体"/>
        </w:rPr>
        <w:t>７</w:t>
      </w:r>
      <w:r>
        <w:rPr>
          <w:rFonts w:ascii="宋体" w:hAnsi="宋体" w:eastAsia="宋体"/>
        </w:rPr>
        <w:t>）根据需要直接调查处理县区管辖范围内有关案件或经申请认为需要由市级调查处理的案件；</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r>
        <w:rPr>
          <w:rFonts w:ascii="宋体" w:hAnsi="宋体" w:eastAsia="宋体"/>
        </w:rPr>
        <w:t>（</w:t>
      </w:r>
      <w:r>
        <w:rPr>
          <w:rFonts w:hint="eastAsia" w:ascii="宋体" w:hAnsi="宋体" w:eastAsia="宋体"/>
        </w:rPr>
        <w:t>８</w:t>
      </w:r>
      <w:r>
        <w:rPr>
          <w:rFonts w:ascii="宋体" w:hAnsi="宋体" w:eastAsia="宋体"/>
        </w:rPr>
        <w:t>）承担上级机关指定或交办的卫生监督事项。</w:t>
      </w:r>
    </w:p>
    <w:p>
      <w:pPr>
        <w:pStyle w:val="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firstLine="360" w:firstLineChars="150"/>
        <w:jc w:val="both"/>
      </w:pPr>
      <w:r>
        <w:rPr>
          <w:rFonts w:hint="eastAsia"/>
        </w:rPr>
        <w:t>二、</w:t>
      </w:r>
      <w:r>
        <w:t>目标规划</w:t>
      </w:r>
    </w:p>
    <w:p>
      <w:pPr>
        <w:pStyle w:val="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firstLine="420"/>
        <w:jc w:val="both"/>
      </w:pPr>
      <w:r>
        <w:t>1、公共场所卫生监督</w:t>
      </w:r>
    </w:p>
    <w:p>
      <w:pPr>
        <w:pStyle w:val="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firstLine="420"/>
        <w:jc w:val="both"/>
      </w:pPr>
      <w:r>
        <w:t>（1）加大公共场所卫生监督力度，对所管辖的各类公共场所进行经常性卫生监督，覆盖率达100%。</w:t>
      </w:r>
    </w:p>
    <w:p>
      <w:pPr>
        <w:pStyle w:val="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firstLine="420"/>
        <w:jc w:val="both"/>
      </w:pPr>
      <w:r>
        <w:t>（2）</w:t>
      </w:r>
      <w:r>
        <w:rPr>
          <w:rFonts w:hint="eastAsia"/>
        </w:rPr>
        <w:t>开展公共场所量化分级管理，量化分级率达</w:t>
      </w:r>
      <w:r>
        <w:t>100%</w:t>
      </w:r>
      <w:r>
        <w:rPr>
          <w:rFonts w:hint="eastAsia"/>
        </w:rPr>
        <w:t>。</w:t>
      </w:r>
    </w:p>
    <w:p>
      <w:pPr>
        <w:pStyle w:val="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firstLine="420"/>
        <w:jc w:val="both"/>
      </w:pPr>
      <w:r>
        <w:t>（3）</w:t>
      </w:r>
      <w:r>
        <w:rPr>
          <w:rFonts w:hint="eastAsia"/>
        </w:rPr>
        <w:t>要求公共场所从业人员持有效健康合格证明并培训卫生知识合格后上岗，持证率达</w:t>
      </w:r>
      <w:r>
        <w:t>100%</w:t>
      </w:r>
      <w:r>
        <w:rPr>
          <w:rFonts w:hint="eastAsia"/>
        </w:rPr>
        <w:t>。</w:t>
      </w:r>
    </w:p>
    <w:p>
      <w:pPr>
        <w:pStyle w:val="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firstLine="420"/>
        <w:jc w:val="both"/>
      </w:pPr>
      <w:r>
        <w:t>2、生活饮用水卫生</w:t>
      </w:r>
    </w:p>
    <w:p>
      <w:pPr>
        <w:pStyle w:val="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firstLine="420"/>
        <w:jc w:val="both"/>
      </w:pPr>
      <w:r>
        <w:t>（1）全面掌握全市城乡居民生活饮用水基本情况，加强全市集中式供水单位的卫生管理，做好饮用水卫生监督，积极配合市疾病预防控制中心做好水质监测工作。</w:t>
      </w:r>
    </w:p>
    <w:p>
      <w:pPr>
        <w:pStyle w:val="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firstLine="420"/>
        <w:jc w:val="both"/>
      </w:pPr>
      <w:r>
        <w:t>（2）</w:t>
      </w:r>
      <w:r>
        <w:rPr>
          <w:rFonts w:hint="eastAsia"/>
        </w:rPr>
        <w:t>要求供水单位从业人员持有效健康合格证明并培训卫生知识合格后上岗，持证率达</w:t>
      </w:r>
      <w:r>
        <w:t>100%</w:t>
      </w:r>
      <w:r>
        <w:rPr>
          <w:rFonts w:hint="eastAsia"/>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rPr>
      </w:pP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617005</w:t>
            </w:r>
            <w:r>
              <w:rPr>
                <w:rFonts w:hint="eastAsia" w:ascii="宋体" w:hAnsi="宋体"/>
                <w:sz w:val="28"/>
                <w:lang w:eastAsia="zh-CN"/>
              </w:rPr>
              <w:t>唐山市卫生和计划生育委员会综合监督执法局</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863.36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863.36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863.36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863.36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732.9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661.69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71.21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130.46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92.92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37.54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617005</w:t>
            </w:r>
            <w:r>
              <w:rPr>
                <w:rFonts w:hint="eastAsia" w:ascii="宋体" w:hAnsi="宋体" w:cs="宋体"/>
                <w:color w:val="000000"/>
                <w:kern w:val="0"/>
                <w:sz w:val="28"/>
                <w:szCs w:val="28"/>
                <w:lang w:eastAsia="zh-CN"/>
              </w:rPr>
              <w:t>唐山市卫生和计划生育委员会综合监督执法局</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732.90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732.90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661.69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661.69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202.24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202.24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53.85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53.85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11.28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11.28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30.72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30.72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11.06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174.10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174.10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77.45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77.45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27.11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27.11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64.39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64.39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2.24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1.94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0.97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46.47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46.47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185.03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185.03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117.71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117.71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50.47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16.85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71.21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71.21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3.70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62.48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62.48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41.97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41.97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16.84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16.84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3.67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617005</w:t>
            </w:r>
            <w:r>
              <w:rPr>
                <w:rFonts w:hint="eastAsia" w:ascii="宋体" w:hAnsi="宋体" w:cs="宋体"/>
                <w:color w:val="000000"/>
                <w:kern w:val="0"/>
                <w:sz w:val="28"/>
                <w:szCs w:val="28"/>
                <w:lang w:eastAsia="zh-CN"/>
              </w:rPr>
              <w:t>唐山市卫生和计划生育委员会综合监督执法局</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92.92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92.92</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44.96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44.96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2.91</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2.27</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2.27</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8.70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8.70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25.60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25.60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27.96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27.96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7.41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7.41</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0.17</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5.19</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0.57</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617005</w:t>
            </w:r>
            <w:r>
              <w:rPr>
                <w:rFonts w:hint="eastAsia" w:ascii="宋体" w:hAnsi="宋体"/>
                <w:sz w:val="28"/>
                <w:lang w:eastAsia="zh-CN"/>
              </w:rPr>
              <w:t>唐山市卫生和计划生育委员会综合监督执法局</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26.50</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26.50</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25.60</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25.60</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25.60</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25.60</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0.90</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0.90</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5.56</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5.56</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32.06</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32.06</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617005</w:t>
            </w:r>
            <w:r>
              <w:rPr>
                <w:rFonts w:hint="eastAsia" w:ascii="宋体" w:hAnsi="宋体" w:cs="宋体"/>
                <w:color w:val="000000"/>
                <w:kern w:val="0"/>
                <w:sz w:val="28"/>
                <w:szCs w:val="28"/>
                <w:lang w:eastAsia="zh-CN"/>
              </w:rPr>
              <w:t>唐山市卫生和计划生育委员会综合监督执法局</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37.54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37.54</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购置卫生执法服装</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2.06</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2.06</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购置办公设备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网络维护费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公共场所抽检经费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2100402</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物业劳务费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6.48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6.48</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617005</w:t>
            </w:r>
            <w:r>
              <w:rPr>
                <w:rFonts w:hint="eastAsia" w:ascii="宋体" w:hAnsi="宋体"/>
                <w:sz w:val="28"/>
                <w:lang w:eastAsia="zh-CN"/>
              </w:rPr>
              <w:t>唐山市卫生和计划生育委员会综合监督执法局</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617005</w:t>
            </w:r>
            <w:r>
              <w:rPr>
                <w:rFonts w:hint="eastAsia" w:ascii="宋体" w:hAnsi="宋体"/>
                <w:sz w:val="28"/>
                <w:lang w:eastAsia="zh-CN"/>
              </w:rPr>
              <w:t>唐山市卫生和计划生育委员会综合监督执法局</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2622.44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hint="eastAsia" w:ascii="宋体" w:hAnsi="宋体" w:eastAsia="宋体"/>
          <w:b/>
          <w:color w:val="000000"/>
          <w:sz w:val="44"/>
          <w:lang w:eastAsia="zh-CN"/>
        </w:rPr>
        <w:t>唐山市卫生和计划生育委员会综合监督执法局</w:t>
      </w:r>
      <w:r>
        <w:rPr>
          <w:rFonts w:ascii="宋体" w:hAnsi="宋体" w:eastAsia="宋体"/>
          <w:b/>
          <w:color w:val="000000"/>
          <w:sz w:val="44"/>
        </w:rPr>
        <w:t>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5"/>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617005</w:t>
            </w:r>
            <w:r>
              <w:rPr>
                <w:rFonts w:hint="eastAsia" w:ascii="宋体" w:hAnsi="宋体"/>
                <w:sz w:val="28"/>
                <w:lang w:eastAsia="zh-CN"/>
              </w:rPr>
              <w:t>唐山市卫生和计划生育委员会综合监督执法局</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37.54</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61700517GGZ0002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购置卫生执法服装</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2.06</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根据财政部、卫生部（</w:t>
            </w:r>
            <w:r>
              <w:rPr>
                <w:rFonts w:ascii="宋体" w:hAnsi="宋体" w:cs="宋体"/>
                <w:color w:val="000000"/>
                <w:kern w:val="0"/>
                <w:szCs w:val="21"/>
              </w:rPr>
              <w:t>88）卫防字第29号文件精神，卫生监督部门执法人员一律统一着装。我单位2018年新 招考录用3人，调入1人，尚未着装。冬装每人1套预计资金1200元；春秋装每人2套预计资金2000元；夏装每人2套预计资金750元；棉大衣每人1套预计资金900元；帽子、领带、帽徽、臂章、警号、领带夹等每人预计资金300元。每人需资金为5150元，预计共需资金2.06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61700519GGZ0005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购置办公设备</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因我单位一批办公设备已超出使用年限，严重老化，无法正常使用，于</w:t>
            </w:r>
            <w:r>
              <w:rPr>
                <w:rFonts w:ascii="宋体" w:hAnsi="宋体" w:cs="宋体"/>
                <w:color w:val="000000"/>
                <w:kern w:val="0"/>
                <w:szCs w:val="21"/>
              </w:rPr>
              <w:t>2017年已申请报废，致使我单位目前办公设备极度短缺，严重影响正常工作的开展，为加强卫生计生监督工作，提高监督执法工作效率，我局需购置办公设备一批，经市场询价，需财政资金12万元。所需购置办公设备如下：</w:t>
            </w:r>
          </w:p>
          <w:p>
            <w:pPr>
              <w:widowControl/>
              <w:jc w:val="left"/>
              <w:rPr>
                <w:rFonts w:ascii="宋体" w:hAnsi="宋体" w:cs="宋体"/>
                <w:color w:val="000000"/>
                <w:kern w:val="0"/>
                <w:szCs w:val="21"/>
              </w:rPr>
            </w:pPr>
            <w:r>
              <w:rPr>
                <w:rFonts w:hint="eastAsia" w:ascii="宋体" w:hAnsi="宋体" w:cs="宋体"/>
                <w:color w:val="000000"/>
                <w:kern w:val="0"/>
                <w:szCs w:val="21"/>
              </w:rPr>
              <w:t>设备名称</w:t>
            </w:r>
            <w:r>
              <w:rPr>
                <w:rFonts w:ascii="宋体" w:hAnsi="宋体" w:cs="宋体"/>
                <w:color w:val="000000"/>
                <w:kern w:val="0"/>
                <w:szCs w:val="21"/>
              </w:rPr>
              <w:t xml:space="preserve">                  单位            数量           单价           金额（元）</w:t>
            </w:r>
          </w:p>
          <w:p>
            <w:pPr>
              <w:widowControl/>
              <w:jc w:val="left"/>
              <w:rPr>
                <w:rFonts w:ascii="宋体" w:hAnsi="宋体" w:cs="宋体"/>
                <w:color w:val="000000"/>
                <w:kern w:val="0"/>
                <w:szCs w:val="21"/>
              </w:rPr>
            </w:pPr>
            <w:r>
              <w:rPr>
                <w:rFonts w:hint="eastAsia" w:ascii="宋体" w:hAnsi="宋体" w:cs="宋体"/>
                <w:color w:val="000000"/>
                <w:kern w:val="0"/>
                <w:szCs w:val="21"/>
              </w:rPr>
              <w:t>台式电脑</w:t>
            </w:r>
            <w:r>
              <w:rPr>
                <w:rFonts w:ascii="宋体" w:hAnsi="宋体" w:cs="宋体"/>
                <w:color w:val="000000"/>
                <w:kern w:val="0"/>
                <w:szCs w:val="21"/>
              </w:rPr>
              <w:t xml:space="preserve">                   台             10             4500</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45000</w:t>
            </w:r>
          </w:p>
          <w:p>
            <w:pPr>
              <w:widowControl/>
              <w:jc w:val="left"/>
              <w:rPr>
                <w:rFonts w:ascii="宋体" w:hAnsi="宋体" w:cs="宋体"/>
                <w:color w:val="000000"/>
                <w:kern w:val="0"/>
                <w:szCs w:val="21"/>
              </w:rPr>
            </w:pPr>
            <w:r>
              <w:rPr>
                <w:rFonts w:hint="eastAsia" w:ascii="宋体" w:hAnsi="宋体" w:cs="宋体"/>
                <w:color w:val="000000"/>
                <w:kern w:val="0"/>
                <w:szCs w:val="21"/>
              </w:rPr>
              <w:t>打印机</w:t>
            </w:r>
            <w:r>
              <w:rPr>
                <w:rFonts w:ascii="宋体" w:hAnsi="宋体" w:cs="宋体"/>
                <w:color w:val="000000"/>
                <w:kern w:val="0"/>
                <w:szCs w:val="21"/>
              </w:rPr>
              <w:t xml:space="preserve">                     台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4             1550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6200</w:t>
            </w:r>
          </w:p>
          <w:p>
            <w:pPr>
              <w:widowControl/>
              <w:jc w:val="left"/>
              <w:rPr>
                <w:rFonts w:ascii="宋体" w:hAnsi="宋体" w:cs="宋体"/>
                <w:color w:val="000000"/>
                <w:kern w:val="0"/>
                <w:szCs w:val="21"/>
              </w:rPr>
            </w:pPr>
            <w:r>
              <w:rPr>
                <w:rFonts w:hint="eastAsia" w:ascii="宋体" w:hAnsi="宋体" w:cs="宋体"/>
                <w:color w:val="000000"/>
                <w:kern w:val="0"/>
                <w:szCs w:val="21"/>
              </w:rPr>
              <w:t>照相机</w:t>
            </w:r>
            <w:r>
              <w:rPr>
                <w:rFonts w:ascii="宋体" w:hAnsi="宋体" w:cs="宋体"/>
                <w:color w:val="000000"/>
                <w:kern w:val="0"/>
                <w:szCs w:val="21"/>
              </w:rPr>
              <w:t xml:space="preserve">                     台              1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2500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2500</w:t>
            </w:r>
          </w:p>
          <w:p>
            <w:pPr>
              <w:widowControl/>
              <w:jc w:val="left"/>
              <w:rPr>
                <w:rFonts w:ascii="宋体" w:hAnsi="宋体" w:cs="宋体"/>
                <w:color w:val="000000"/>
                <w:kern w:val="0"/>
                <w:szCs w:val="21"/>
              </w:rPr>
            </w:pPr>
            <w:r>
              <w:rPr>
                <w:rFonts w:hint="eastAsia" w:ascii="宋体" w:hAnsi="宋体" w:cs="宋体"/>
                <w:color w:val="000000"/>
                <w:kern w:val="0"/>
                <w:szCs w:val="21"/>
              </w:rPr>
              <w:t>多功能一体机</w:t>
            </w:r>
            <w:r>
              <w:rPr>
                <w:rFonts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ascii="宋体" w:hAnsi="宋体" w:cs="宋体"/>
                <w:color w:val="000000"/>
                <w:kern w:val="0"/>
                <w:szCs w:val="21"/>
              </w:rPr>
              <w:t>台              5             3000</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15000</w:t>
            </w:r>
          </w:p>
          <w:p>
            <w:pPr>
              <w:widowControl/>
              <w:jc w:val="left"/>
              <w:rPr>
                <w:rFonts w:ascii="宋体" w:hAnsi="宋体" w:cs="宋体"/>
                <w:color w:val="000000"/>
                <w:kern w:val="0"/>
                <w:szCs w:val="21"/>
              </w:rPr>
            </w:pPr>
            <w:r>
              <w:rPr>
                <w:rFonts w:hint="eastAsia" w:ascii="宋体" w:hAnsi="宋体" w:cs="宋体"/>
                <w:color w:val="000000"/>
                <w:kern w:val="0"/>
                <w:szCs w:val="21"/>
              </w:rPr>
              <w:t>笔记本电脑</w:t>
            </w:r>
            <w:r>
              <w:rPr>
                <w:rFonts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台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7             6000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42000  </w:t>
            </w:r>
          </w:p>
          <w:p>
            <w:pPr>
              <w:widowControl/>
              <w:jc w:val="left"/>
              <w:rPr>
                <w:rFonts w:ascii="宋体" w:hAnsi="宋体" w:cs="宋体"/>
                <w:color w:val="000000"/>
                <w:kern w:val="0"/>
                <w:szCs w:val="21"/>
              </w:rPr>
            </w:pPr>
            <w:r>
              <w:rPr>
                <w:rFonts w:hint="eastAsia" w:ascii="宋体" w:hAnsi="宋体" w:cs="宋体"/>
                <w:color w:val="000000"/>
                <w:kern w:val="0"/>
                <w:szCs w:val="21"/>
              </w:rPr>
              <w:t>五节柜</w:t>
            </w:r>
            <w:r>
              <w:rPr>
                <w:rFonts w:ascii="宋体" w:hAnsi="宋体" w:cs="宋体"/>
                <w:color w:val="000000"/>
                <w:kern w:val="0"/>
                <w:szCs w:val="21"/>
              </w:rPr>
              <w:t xml:space="preserve">                     个              1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600             600</w:t>
            </w:r>
          </w:p>
          <w:p>
            <w:pPr>
              <w:widowControl/>
              <w:jc w:val="left"/>
              <w:rPr>
                <w:rFonts w:ascii="宋体" w:hAnsi="宋体" w:cs="宋体"/>
                <w:color w:val="000000"/>
                <w:kern w:val="0"/>
                <w:szCs w:val="21"/>
              </w:rPr>
            </w:pPr>
            <w:r>
              <w:rPr>
                <w:rFonts w:hint="eastAsia" w:ascii="宋体" w:hAnsi="宋体" w:cs="宋体"/>
                <w:color w:val="000000"/>
                <w:kern w:val="0"/>
                <w:szCs w:val="21"/>
              </w:rPr>
              <w:t>文件柜</w:t>
            </w:r>
            <w:r>
              <w:rPr>
                <w:rFonts w:ascii="宋体" w:hAnsi="宋体" w:cs="宋体"/>
                <w:color w:val="000000"/>
                <w:kern w:val="0"/>
                <w:szCs w:val="21"/>
              </w:rPr>
              <w:t xml:space="preserve">                     个             10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670            6700</w:t>
            </w:r>
          </w:p>
          <w:p>
            <w:pPr>
              <w:widowControl/>
              <w:jc w:val="left"/>
              <w:rPr>
                <w:rFonts w:ascii="宋体" w:hAnsi="宋体" w:cs="宋体"/>
                <w:color w:val="000000"/>
                <w:kern w:val="0"/>
                <w:szCs w:val="21"/>
              </w:rPr>
            </w:pPr>
            <w:r>
              <w:rPr>
                <w:rFonts w:hint="eastAsia" w:ascii="宋体" w:hAnsi="宋体" w:cs="宋体"/>
                <w:color w:val="000000"/>
                <w:kern w:val="0"/>
                <w:szCs w:val="21"/>
              </w:rPr>
              <w:t>高分辨率显示器</w:t>
            </w:r>
            <w:r>
              <w:rPr>
                <w:rFonts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台              1             2000            2000</w:t>
            </w:r>
          </w:p>
          <w:p>
            <w:pPr>
              <w:widowControl/>
              <w:jc w:val="left"/>
              <w:rPr>
                <w:rFonts w:ascii="宋体" w:hAnsi="宋体" w:cs="宋体"/>
                <w:color w:val="000000"/>
                <w:kern w:val="0"/>
                <w:szCs w:val="21"/>
              </w:rPr>
            </w:pPr>
            <w:r>
              <w:rPr>
                <w:rFonts w:hint="eastAsia" w:ascii="宋体" w:hAnsi="宋体" w:cs="宋体"/>
                <w:color w:val="000000"/>
                <w:kern w:val="0"/>
                <w:szCs w:val="21"/>
              </w:rPr>
              <w:t>合计</w:t>
            </w:r>
            <w:r>
              <w:rPr>
                <w:rFonts w:ascii="宋体" w:hAnsi="宋体" w:cs="宋体"/>
                <w:color w:val="000000"/>
                <w:kern w:val="0"/>
                <w:szCs w:val="21"/>
              </w:rPr>
              <w:t xml:space="preserve">                                                                   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61700517GWH0003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网络维护费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我单位为更好地开展信息公开工作，租用卫生厅服务器，需用于网络维护资金</w:t>
            </w:r>
            <w:r>
              <w:rPr>
                <w:rFonts w:ascii="宋体" w:hAnsi="宋体" w:cs="宋体"/>
                <w:color w:val="000000"/>
                <w:kern w:val="0"/>
                <w:szCs w:val="21"/>
              </w:rPr>
              <w:t>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2" w:hRule="atLeast"/>
          <w:jc w:val="center"/>
        </w:trPr>
        <w:tc>
          <w:tcPr>
            <w:tcW w:w="1809" w:type="dxa"/>
            <w:shd w:val="clear" w:color="auto" w:fill="auto"/>
            <w:vAlign w:val="center"/>
          </w:tcPr>
          <w:p>
            <w:pPr>
              <w:widowControl/>
              <w:jc w:val="left"/>
              <w:rPr>
                <w:rFonts w:ascii="宋体" w:hAnsi="宋体" w:cs="宋体"/>
                <w:color w:val="000000"/>
                <w:kern w:val="0"/>
                <w:szCs w:val="21"/>
              </w:rPr>
            </w:pPr>
            <w:bookmarkStart w:id="1" w:name="_GoBack"/>
            <w:bookmarkEnd w:id="1"/>
            <w:r>
              <w:rPr>
                <w:rFonts w:ascii="宋体" w:hAnsi="宋体" w:cs="宋体"/>
                <w:color w:val="000000"/>
                <w:kern w:val="0"/>
                <w:szCs w:val="21"/>
              </w:rPr>
              <w:t>61700517GZX0004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公共场所抽检经费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依据国家《传染病防治法》、《公共场所卫生管理条例实施细则》和《生活饮用水卫生监督管理办法》，为保障我市居民的身体健康和生命安全，为全市人民创造一个良好的生活环境，巩固我市国家文明城建设成果，实现“健康唐山、幸福人民”的目标，提高我市居民的幸福指数，</w:t>
            </w:r>
            <w:r>
              <w:rPr>
                <w:rFonts w:ascii="宋体" w:hAnsi="宋体" w:cs="宋体"/>
                <w:color w:val="000000"/>
                <w:kern w:val="0"/>
                <w:szCs w:val="21"/>
              </w:rPr>
              <w:t>2019年我们将对全市公共场所和居民区内的自动售水机进行抽检，抽检项目为公用场所空气质量（温度、相对湿度、风速、二氧化碳、一氧化碳、甲醛、氨、可吸入颗粒物、空气细菌总数、台面照度、采光系数、噪声等）、客用物品的消毒效果（细菌总数、大肠菌群、致病菌）、游泳池水质（</w:t>
            </w:r>
            <w:r>
              <w:rPr>
                <w:rFonts w:hint="eastAsia" w:ascii="宋体" w:hAnsi="宋体" w:cs="宋体"/>
                <w:color w:val="000000"/>
                <w:kern w:val="0"/>
                <w:szCs w:val="21"/>
              </w:rPr>
              <w:t>水温、</w:t>
            </w:r>
            <w:r>
              <w:rPr>
                <w:rFonts w:ascii="宋体" w:hAnsi="宋体" w:cs="宋体"/>
                <w:color w:val="000000"/>
                <w:kern w:val="0"/>
                <w:szCs w:val="21"/>
              </w:rPr>
              <w:t>ph值、浑浊度、尿素、余氯、细菌总数、大肠菌群等）和自动售水机水质（总大肠菌群、菌落总数、色度、浊度、臭和味、肉眼可见物、ph值、耗氧量）。由于我单位无检验资质，全部检验项目均由具有公共卫生和生活饮用水检验资质的单位检验。附表如下：</w:t>
            </w:r>
          </w:p>
          <w:p>
            <w:pPr>
              <w:widowControl/>
              <w:jc w:val="left"/>
              <w:rPr>
                <w:rFonts w:ascii="宋体" w:hAnsi="宋体" w:cs="宋体"/>
                <w:color w:val="000000"/>
                <w:kern w:val="0"/>
                <w:szCs w:val="21"/>
              </w:rPr>
            </w:pPr>
            <w:r>
              <w:rPr>
                <w:rFonts w:ascii="宋体" w:hAnsi="宋体" w:cs="宋体"/>
                <w:color w:val="000000"/>
                <w:kern w:val="0"/>
                <w:szCs w:val="21"/>
              </w:rPr>
              <w:t xml:space="preserve">     监测场地    检测内容     采样份数    收费标准    检测费用</w:t>
            </w:r>
            <w:r>
              <w:rPr>
                <w:rFonts w:ascii="宋体" w:hAnsi="宋体" w:cs="宋体"/>
                <w:color w:val="000000"/>
                <w:kern w:val="0"/>
                <w:szCs w:val="21"/>
              </w:rPr>
              <w:tab/>
            </w:r>
            <w:r>
              <w:rPr>
                <w:rFonts w:ascii="宋体" w:hAnsi="宋体" w:cs="宋体"/>
                <w:color w:val="000000"/>
                <w:kern w:val="0"/>
                <w:szCs w:val="21"/>
              </w:rPr>
              <w:t xml:space="preserve">    单位（元）</w:t>
            </w:r>
            <w:r>
              <w:rPr>
                <w:rFonts w:ascii="宋体" w:hAnsi="宋体" w:cs="宋体"/>
                <w:color w:val="000000"/>
                <w:kern w:val="0"/>
                <w:szCs w:val="21"/>
              </w:rPr>
              <w:tab/>
            </w:r>
          </w:p>
          <w:p>
            <w:pPr>
              <w:widowControl/>
              <w:jc w:val="left"/>
              <w:rPr>
                <w:rFonts w:ascii="宋体" w:hAnsi="宋体" w:cs="宋体"/>
                <w:color w:val="000000"/>
                <w:kern w:val="0"/>
                <w:szCs w:val="21"/>
              </w:rPr>
            </w:pPr>
            <w:r>
              <w:rPr>
                <w:rFonts w:ascii="宋体" w:hAnsi="宋体" w:cs="宋体"/>
                <w:color w:val="000000"/>
                <w:kern w:val="0"/>
                <w:szCs w:val="21"/>
              </w:rPr>
              <w:t xml:space="preserve">       旅店     </w:t>
            </w:r>
            <w:r>
              <w:rPr>
                <w:rFonts w:hint="eastAsia" w:ascii="宋体" w:hAnsi="宋体" w:cs="宋体"/>
                <w:color w:val="000000"/>
                <w:kern w:val="0"/>
                <w:szCs w:val="21"/>
                <w:lang w:val="en-US" w:eastAsia="zh-CN"/>
              </w:rPr>
              <w:t xml:space="preserve"> </w:t>
            </w:r>
            <w:r>
              <w:rPr>
                <w:rFonts w:ascii="宋体" w:hAnsi="宋体" w:cs="宋体"/>
                <w:color w:val="000000"/>
                <w:kern w:val="0"/>
                <w:szCs w:val="21"/>
              </w:rPr>
              <w:t>空气质量          35        375        13125</w:t>
            </w:r>
          </w:p>
          <w:p>
            <w:pPr>
              <w:widowControl/>
              <w:jc w:val="left"/>
              <w:rPr>
                <w:rFonts w:ascii="宋体" w:hAnsi="宋体" w:cs="宋体"/>
                <w:color w:val="000000"/>
                <w:kern w:val="0"/>
                <w:szCs w:val="21"/>
              </w:rPr>
            </w:pPr>
            <w:r>
              <w:rPr>
                <w:rFonts w:ascii="宋体" w:hAnsi="宋体" w:cs="宋体"/>
                <w:color w:val="000000"/>
                <w:kern w:val="0"/>
                <w:szCs w:val="21"/>
              </w:rPr>
              <w:t xml:space="preserve">                 客用物品          30        680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20400</w:t>
            </w:r>
          </w:p>
          <w:p>
            <w:pPr>
              <w:widowControl/>
              <w:jc w:val="left"/>
              <w:rPr>
                <w:rFonts w:ascii="宋体" w:hAnsi="宋体" w:cs="宋体"/>
                <w:color w:val="000000"/>
                <w:kern w:val="0"/>
                <w:szCs w:val="21"/>
              </w:rPr>
            </w:pPr>
            <w:r>
              <w:rPr>
                <w:rFonts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ascii="宋体" w:hAnsi="宋体" w:cs="宋体"/>
                <w:color w:val="000000"/>
                <w:kern w:val="0"/>
                <w:szCs w:val="21"/>
              </w:rPr>
              <w:t>洗浴</w:t>
            </w:r>
            <w:r>
              <w:rPr>
                <w:rFonts w:ascii="宋体" w:hAnsi="宋体" w:cs="宋体"/>
                <w:color w:val="000000"/>
                <w:kern w:val="0"/>
                <w:szCs w:val="21"/>
              </w:rPr>
              <w:tab/>
            </w:r>
            <w:r>
              <w:rPr>
                <w:rFonts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ascii="宋体" w:hAnsi="宋体" w:cs="宋体"/>
                <w:color w:val="000000"/>
                <w:kern w:val="0"/>
                <w:szCs w:val="21"/>
              </w:rPr>
              <w:t>空气质量          37        19</w:t>
            </w:r>
            <w:r>
              <w:rPr>
                <w:rFonts w:hint="eastAsia" w:ascii="宋体" w:hAnsi="宋体" w:cs="宋体"/>
                <w:color w:val="000000"/>
                <w:kern w:val="0"/>
                <w:szCs w:val="21"/>
                <w:lang w:val="en-US" w:eastAsia="zh-CN"/>
              </w:rPr>
              <w:t xml:space="preserve">0 </w:t>
            </w:r>
            <w:r>
              <w:rPr>
                <w:rFonts w:ascii="宋体" w:hAnsi="宋体" w:cs="宋体"/>
                <w:color w:val="000000"/>
                <w:kern w:val="0"/>
                <w:szCs w:val="21"/>
              </w:rPr>
              <w:t xml:space="preserve">        7030</w:t>
            </w:r>
          </w:p>
          <w:p>
            <w:pPr>
              <w:widowControl/>
              <w:jc w:val="left"/>
              <w:rPr>
                <w:rFonts w:ascii="宋体" w:hAnsi="宋体" w:cs="宋体"/>
                <w:color w:val="000000"/>
                <w:kern w:val="0"/>
                <w:szCs w:val="21"/>
              </w:rPr>
            </w:pPr>
            <w:r>
              <w:rPr>
                <w:rFonts w:ascii="宋体" w:hAnsi="宋体" w:cs="宋体"/>
                <w:color w:val="000000"/>
                <w:kern w:val="0"/>
                <w:szCs w:val="21"/>
              </w:rPr>
              <w:t xml:space="preserve">                 客用物品          30        680        20400</w:t>
            </w:r>
            <w:r>
              <w:rPr>
                <w:rFonts w:ascii="宋体" w:hAnsi="宋体" w:cs="宋体"/>
                <w:color w:val="000000"/>
                <w:kern w:val="0"/>
                <w:szCs w:val="21"/>
              </w:rPr>
              <w:tab/>
            </w:r>
          </w:p>
          <w:p>
            <w:pPr>
              <w:widowControl/>
              <w:jc w:val="left"/>
              <w:rPr>
                <w:rFonts w:ascii="宋体" w:hAnsi="宋体" w:cs="宋体"/>
                <w:color w:val="000000"/>
                <w:kern w:val="0"/>
                <w:szCs w:val="21"/>
              </w:rPr>
            </w:pPr>
            <w:r>
              <w:rPr>
                <w:rFonts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美容美发    </w:t>
            </w:r>
            <w:r>
              <w:rPr>
                <w:rFonts w:hint="eastAsia" w:ascii="宋体" w:hAnsi="宋体" w:cs="宋体"/>
                <w:color w:val="000000"/>
                <w:kern w:val="0"/>
                <w:szCs w:val="21"/>
                <w:lang w:val="en-US" w:eastAsia="zh-CN"/>
              </w:rPr>
              <w:t xml:space="preserve"> </w:t>
            </w:r>
            <w:r>
              <w:rPr>
                <w:rFonts w:ascii="宋体" w:hAnsi="宋体" w:cs="宋体"/>
                <w:color w:val="000000"/>
                <w:kern w:val="0"/>
                <w:szCs w:val="21"/>
              </w:rPr>
              <w:t>空气质量</w:t>
            </w:r>
            <w:r>
              <w:rPr>
                <w:rFonts w:ascii="宋体" w:hAnsi="宋体" w:cs="宋体"/>
                <w:color w:val="000000"/>
                <w:kern w:val="0"/>
                <w:szCs w:val="21"/>
              </w:rPr>
              <w:tab/>
            </w:r>
            <w:r>
              <w:rPr>
                <w:rFonts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30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380    </w:t>
            </w:r>
            <w:r>
              <w:rPr>
                <w:rFonts w:hint="eastAsia" w:ascii="宋体" w:hAnsi="宋体" w:cs="宋体"/>
                <w:color w:val="000000"/>
                <w:kern w:val="0"/>
                <w:szCs w:val="21"/>
                <w:lang w:val="en-US" w:eastAsia="zh-CN"/>
              </w:rPr>
              <w:t xml:space="preserve"> </w:t>
            </w:r>
            <w:r>
              <w:rPr>
                <w:rFonts w:ascii="宋体" w:hAnsi="宋体" w:cs="宋体"/>
                <w:color w:val="000000"/>
                <w:kern w:val="0"/>
                <w:szCs w:val="21"/>
              </w:rPr>
              <w:t xml:space="preserve">   11400</w:t>
            </w:r>
            <w:r>
              <w:rPr>
                <w:rFonts w:ascii="宋体" w:hAnsi="宋体" w:cs="宋体"/>
                <w:color w:val="000000"/>
                <w:kern w:val="0"/>
                <w:szCs w:val="21"/>
              </w:rPr>
              <w:tab/>
            </w:r>
            <w:r>
              <w:rPr>
                <w:rFonts w:ascii="宋体" w:hAnsi="宋体" w:cs="宋体"/>
                <w:color w:val="000000"/>
                <w:kern w:val="0"/>
                <w:szCs w:val="21"/>
              </w:rPr>
              <w:tab/>
            </w:r>
          </w:p>
          <w:p>
            <w:pPr>
              <w:widowControl/>
              <w:jc w:val="left"/>
              <w:rPr>
                <w:rFonts w:ascii="宋体" w:hAnsi="宋体" w:cs="宋体"/>
                <w:color w:val="000000"/>
                <w:kern w:val="0"/>
                <w:szCs w:val="21"/>
              </w:rPr>
            </w:pPr>
            <w:r>
              <w:rPr>
                <w:rFonts w:ascii="宋体" w:hAnsi="宋体" w:cs="宋体"/>
                <w:color w:val="000000"/>
                <w:kern w:val="0"/>
                <w:szCs w:val="21"/>
              </w:rPr>
              <w:t xml:space="preserve">                 客用物品          60        280        16800</w:t>
            </w:r>
          </w:p>
          <w:p>
            <w:pPr>
              <w:widowControl/>
              <w:ind w:firstLine="420"/>
              <w:jc w:val="left"/>
              <w:rPr>
                <w:rFonts w:ascii="宋体" w:hAnsi="宋体" w:cs="宋体"/>
                <w:color w:val="000000"/>
                <w:kern w:val="0"/>
                <w:szCs w:val="21"/>
              </w:rPr>
            </w:pPr>
            <w:r>
              <w:rPr>
                <w:rFonts w:ascii="宋体" w:hAnsi="宋体" w:cs="宋体"/>
                <w:color w:val="000000"/>
                <w:kern w:val="0"/>
                <w:szCs w:val="21"/>
              </w:rPr>
              <w:t>空调系统     空气质量          20        920        18400</w:t>
            </w: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ascii="宋体" w:hAnsi="宋体" w:cs="宋体"/>
                <w:color w:val="000000"/>
                <w:kern w:val="0"/>
                <w:szCs w:val="21"/>
              </w:rPr>
            </w:pPr>
          </w:p>
          <w:p>
            <w:pPr>
              <w:widowControl/>
              <w:ind w:firstLine="420"/>
              <w:jc w:val="left"/>
              <w:rPr>
                <w:rFonts w:hint="eastAsia"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 xml:space="preserve">        </w:t>
            </w:r>
          </w:p>
          <w:p>
            <w:pPr>
              <w:widowControl/>
              <w:jc w:val="left"/>
              <w:rPr>
                <w:rFonts w:ascii="宋体" w:hAnsi="宋体" w:cs="宋体"/>
                <w:color w:val="000000"/>
                <w:kern w:val="0"/>
                <w:szCs w:val="21"/>
              </w:rPr>
            </w:pPr>
            <w:r>
              <w:rPr>
                <w:rFonts w:ascii="宋体" w:hAnsi="宋体" w:cs="宋体"/>
                <w:color w:val="000000"/>
                <w:kern w:val="0"/>
                <w:szCs w:val="21"/>
              </w:rPr>
              <w:t xml:space="preserve">         商场              空气质量               40                  375              15000</w:t>
            </w:r>
          </w:p>
          <w:p>
            <w:pPr>
              <w:widowControl/>
              <w:jc w:val="left"/>
              <w:rPr>
                <w:rFonts w:ascii="宋体" w:hAnsi="宋体" w:cs="宋体"/>
                <w:color w:val="000000"/>
                <w:kern w:val="0"/>
                <w:szCs w:val="21"/>
              </w:rPr>
            </w:pPr>
            <w:r>
              <w:rPr>
                <w:rFonts w:ascii="宋体" w:hAnsi="宋体" w:cs="宋体"/>
                <w:color w:val="000000"/>
                <w:kern w:val="0"/>
                <w:szCs w:val="21"/>
              </w:rPr>
              <w:t xml:space="preserve">  游泳场所</w:t>
            </w:r>
            <w:r>
              <w:rPr>
                <w:rFonts w:ascii="宋体" w:hAnsi="宋体" w:cs="宋体"/>
                <w:color w:val="000000"/>
                <w:kern w:val="0"/>
                <w:szCs w:val="21"/>
              </w:rPr>
              <w:tab/>
            </w:r>
            <w:r>
              <w:rPr>
                <w:rFonts w:ascii="宋体" w:hAnsi="宋体" w:cs="宋体"/>
                <w:color w:val="000000"/>
                <w:kern w:val="0"/>
                <w:szCs w:val="21"/>
              </w:rPr>
              <w:t xml:space="preserve">  场所水质               40                 220                 8800</w:t>
            </w:r>
          </w:p>
          <w:p>
            <w:pPr>
              <w:widowControl/>
              <w:jc w:val="left"/>
              <w:rPr>
                <w:rFonts w:ascii="宋体" w:hAnsi="宋体" w:cs="宋体"/>
                <w:color w:val="000000"/>
                <w:kern w:val="0"/>
                <w:szCs w:val="21"/>
              </w:rPr>
            </w:pPr>
            <w:r>
              <w:rPr>
                <w:rFonts w:ascii="宋体" w:hAnsi="宋体" w:cs="宋体"/>
                <w:color w:val="000000"/>
                <w:kern w:val="0"/>
                <w:szCs w:val="21"/>
              </w:rPr>
              <w:t xml:space="preserve">                               空气质量               50                 172                 8600</w:t>
            </w:r>
          </w:p>
          <w:p>
            <w:pPr>
              <w:widowControl/>
              <w:jc w:val="left"/>
              <w:rPr>
                <w:rFonts w:ascii="宋体" w:hAnsi="宋体" w:cs="宋体"/>
                <w:color w:val="000000"/>
                <w:kern w:val="0"/>
                <w:szCs w:val="21"/>
              </w:rPr>
            </w:pPr>
            <w:r>
              <w:rPr>
                <w:rFonts w:hint="eastAsia" w:ascii="宋体" w:hAnsi="宋体" w:cs="宋体"/>
                <w:color w:val="000000"/>
                <w:kern w:val="0"/>
                <w:szCs w:val="21"/>
              </w:rPr>
              <w:t>自动售水机</w:t>
            </w:r>
            <w:r>
              <w:rPr>
                <w:rFonts w:ascii="宋体" w:hAnsi="宋体" w:cs="宋体"/>
                <w:color w:val="000000"/>
                <w:kern w:val="0"/>
                <w:szCs w:val="21"/>
              </w:rPr>
              <w:t xml:space="preserve">           水质质量               50                 200               10000</w:t>
            </w:r>
            <w:r>
              <w:rPr>
                <w:rFonts w:ascii="宋体" w:hAnsi="宋体" w:cs="宋体"/>
                <w:color w:val="000000"/>
                <w:kern w:val="0"/>
                <w:szCs w:val="21"/>
              </w:rPr>
              <w:tab/>
            </w:r>
            <w:r>
              <w:rPr>
                <w:rFonts w:ascii="宋体" w:hAnsi="宋体" w:cs="宋体"/>
                <w:color w:val="000000"/>
                <w:kern w:val="0"/>
                <w:szCs w:val="21"/>
              </w:rPr>
              <w:t xml:space="preserve"> </w:t>
            </w:r>
          </w:p>
          <w:p>
            <w:pPr>
              <w:widowControl/>
              <w:jc w:val="left"/>
              <w:rPr>
                <w:rFonts w:ascii="宋体" w:hAnsi="宋体" w:cs="宋体"/>
                <w:color w:val="000000"/>
                <w:kern w:val="0"/>
                <w:szCs w:val="21"/>
              </w:rPr>
            </w:pPr>
            <w:r>
              <w:rPr>
                <w:rFonts w:hint="eastAsia" w:ascii="宋体" w:hAnsi="宋体" w:cs="宋体"/>
                <w:color w:val="000000"/>
                <w:kern w:val="0"/>
                <w:szCs w:val="21"/>
              </w:rPr>
              <w:t>总计</w:t>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ab/>
            </w:r>
            <w:r>
              <w:rPr>
                <w:rFonts w:ascii="宋体" w:hAnsi="宋体" w:cs="宋体"/>
                <w:color w:val="000000"/>
                <w:kern w:val="0"/>
                <w:szCs w:val="21"/>
              </w:rPr>
              <w:t xml:space="preserve">                149950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61700519GZX0007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物业劳务费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6.48</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我单位独门独院，因人员紧缺，现有临时工</w:t>
            </w:r>
            <w:r>
              <w:rPr>
                <w:rFonts w:ascii="宋体" w:hAnsi="宋体" w:cs="宋体"/>
                <w:color w:val="000000"/>
                <w:kern w:val="0"/>
                <w:szCs w:val="21"/>
              </w:rPr>
              <w:t>3名，分别为2名门卫和1名保洁工，每人每月工资1800元，2019年共需资金64800元。因我单位为代行政执法单位，罚没收入由唐山市卫生计生委统一填报，故物业劳务费填报在财政拨款（补助）收入栏。</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r>
        <w:rPr>
          <w:rFonts w:ascii="宋体" w:hAnsi="宋体" w:eastAsia="宋体"/>
          <w:b/>
          <w:color w:val="000000"/>
          <w:sz w:val="28"/>
        </w:rPr>
        <w:t>（二）专项项目安排说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B1C32"/>
    <w:rsid w:val="599F123A"/>
    <w:rsid w:val="66E66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2019-02-25T08:31:02Z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