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sectPr>
          <w:pgSz w:w="11906" w:h="16838"/>
          <w:pgMar w:top="1440" w:right="1800" w:bottom="1440" w:left="1800" w:header="851" w:footer="992" w:gutter="0"/>
          <w:cols w:space="425" w:num="1"/>
          <w:docGrid w:type="lines" w:linePitch="312" w:charSpace="0"/>
        </w:sectPr>
      </w:pPr>
      <w:bookmarkStart w:id="0" w:name="_Toc534399044"/>
      <w:r>
        <w:t>四、唐山市</w:t>
      </w:r>
      <w:r>
        <w:rPr>
          <w:rFonts w:hint="eastAsia"/>
          <w:lang w:val="en-US" w:eastAsia="zh-CN"/>
        </w:rPr>
        <w:t>医学科学情报站</w:t>
      </w:r>
      <w:r>
        <w:t>收支预算安排</w:t>
      </w:r>
      <w:bookmarkEnd w:id="0"/>
    </w:p>
    <w:p>
      <w:pPr>
        <w:jc w:val="center"/>
        <w:rPr>
          <w:rFonts w:ascii="宋体" w:hAnsi="宋体" w:eastAsia="宋体"/>
          <w:b/>
          <w:color w:val="000000"/>
          <w:sz w:val="44"/>
        </w:rPr>
      </w:pPr>
      <w:r>
        <w:rPr>
          <w:rFonts w:hint="eastAsia" w:ascii="宋体" w:hAnsi="宋体" w:eastAsia="宋体"/>
          <w:b/>
          <w:color w:val="000000"/>
          <w:sz w:val="44"/>
        </w:rPr>
        <w:t>唐山市</w:t>
      </w:r>
      <w:r>
        <w:rPr>
          <w:rFonts w:hint="eastAsia" w:ascii="宋体" w:hAnsi="宋体" w:eastAsia="宋体"/>
          <w:b/>
          <w:color w:val="000000"/>
          <w:sz w:val="44"/>
          <w:lang w:val="en-US" w:eastAsia="zh-CN"/>
        </w:rPr>
        <w:t>医学科学情报站</w:t>
      </w:r>
      <w:r>
        <w:rPr>
          <w:rFonts w:hint="eastAsia" w:ascii="宋体" w:hAnsi="宋体" w:eastAsia="宋体"/>
          <w:b/>
          <w:color w:val="000000"/>
          <w:sz w:val="44"/>
        </w:rPr>
        <w:t>职责任务与目标</w:t>
      </w:r>
    </w:p>
    <w:p>
      <w:pPr>
        <w:spacing w:line="480" w:lineRule="auto"/>
        <w:jc w:val="left"/>
        <w:rPr>
          <w:rFonts w:ascii="宋体" w:hAnsi="宋体" w:eastAsia="宋体"/>
          <w:b/>
          <w:color w:val="000000"/>
          <w:sz w:val="28"/>
        </w:rPr>
      </w:pPr>
      <w:r>
        <w:rPr>
          <w:rFonts w:ascii="宋体" w:hAnsi="宋体" w:eastAsia="宋体"/>
          <w:b/>
          <w:color w:val="000000"/>
          <w:sz w:val="28"/>
        </w:rPr>
        <w:t>一、主要职责</w:t>
      </w:r>
    </w:p>
    <w:p>
      <w:pPr>
        <w:spacing w:line="360" w:lineRule="auto"/>
        <w:ind w:firstLine="2720" w:firstLineChars="850"/>
        <w:jc w:val="left"/>
        <w:rPr>
          <w:rFonts w:ascii="黑体" w:hAnsi="黑体" w:eastAsia="黑体" w:cs="仿宋_GB2312"/>
          <w:sz w:val="32"/>
          <w:szCs w:val="32"/>
        </w:rPr>
      </w:pPr>
      <w:r>
        <w:rPr>
          <w:rFonts w:hint="eastAsia" w:ascii="黑体" w:hAnsi="黑体" w:eastAsia="黑体" w:cs="仿宋_GB2312"/>
          <w:sz w:val="32"/>
          <w:szCs w:val="32"/>
        </w:rPr>
        <w:t>主要职责</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建立和完善适应社会发展需要以政府负责、部门合作、全社会参与、法律保障为特点的健康教育与健康促进工作体系，加强健康教育专业机构队伍建设；紧紧围绕重大卫生问题针对重点场所、重点人群，倡导健康的公共卫生政策和支持性环境；以社区为基础，开展多种形式的健康教育与健康促进活动，大力普及健康知识，帮助广大群众建立科学、文明、健康的生活方式，进一步提高人群的健康水平和生活质量，促进卫生与经济社会协调发展。</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1、县及县以上健康教育专业机构要配置适应工作需要的健康教育专业技术人员、设备及工作用房。</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2、社区、医院、学校、企事业单位等有直接面向目标人群开展健康教育与健康促进的服务设施和网络。</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3、建立健全健康教育与健康促进中心数据库；建立完善健康教育与健康促进专家库、传播材料库。</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4、城市居民健康知识知晓率达80%以上；健康行为形成率达60%以上。</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5、城市中、小学生健康知识知晓率及健康行为形成率分别达90%、70%以上。</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6、农村居民基本卫生知识知晓率达70%以上；健康相关行为形成率分别达60%以上。</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7、农村中、小学生健康知识知晓率及健康行为形成率分别达80%、60%以上。</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8、医院患者及家属相关疾病自我保健知识知晓率达80%以上。</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9、城市妇幼保健健康教育普及率达100%。</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10、农村妇幼保健健康教育普及率达80%以上。</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11、90%以上的中、小学校成为无烟学校。</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t>12</w:t>
      </w:r>
      <w:r>
        <w:rPr>
          <w:rFonts w:ascii="宋体" w:hAnsi="宋体" w:eastAsia="宋体"/>
        </w:rPr>
        <w:t>、</w:t>
      </w:r>
      <w:r>
        <w:t>90%</w:t>
      </w:r>
      <w:r>
        <w:rPr>
          <w:rFonts w:ascii="宋体" w:hAnsi="宋体" w:eastAsia="宋体"/>
        </w:rPr>
        <w:t>以上的医院成为无烟医院。</w:t>
      </w:r>
    </w:p>
    <w:p>
      <w:pPr>
        <w:spacing w:line="360" w:lineRule="auto"/>
        <w:ind w:firstLine="420" w:firstLineChars="200"/>
      </w:pPr>
    </w:p>
    <w:p>
      <w:pPr>
        <w:spacing w:line="480" w:lineRule="auto"/>
        <w:jc w:val="left"/>
        <w:rPr>
          <w:rFonts w:ascii="宋体" w:hAnsi="宋体" w:eastAsia="宋体"/>
          <w:b/>
          <w:color w:val="000000"/>
          <w:sz w:val="28"/>
        </w:rPr>
      </w:pPr>
      <w:r>
        <w:rPr>
          <w:rFonts w:ascii="宋体" w:hAnsi="宋体" w:eastAsia="宋体"/>
          <w:b/>
          <w:color w:val="000000"/>
          <w:sz w:val="28"/>
        </w:rPr>
        <w:t>二、主要任务及目标规划</w:t>
      </w:r>
    </w:p>
    <w:p>
      <w:pPr>
        <w:spacing w:line="360" w:lineRule="auto"/>
        <w:rPr>
          <w:rFonts w:ascii="黑体" w:hAnsi="黑体" w:eastAsia="黑体" w:cs="仿宋_GB2312"/>
          <w:sz w:val="32"/>
          <w:szCs w:val="32"/>
        </w:rPr>
      </w:pPr>
      <w:r>
        <w:rPr>
          <w:rFonts w:hint="eastAsia" w:ascii="黑体" w:hAnsi="黑体" w:eastAsia="黑体" w:cs="仿宋_GB2312"/>
          <w:sz w:val="32"/>
          <w:szCs w:val="32"/>
        </w:rPr>
        <w:t xml:space="preserve">                 主要任务及目标规划</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1、建立健康教育组织网络，协调部门关系，保证健康教育工作的顺利开展与实施。</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2、建立健全健康教育党案资料。</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3、全市范围内普及健康知识，加大宣传力度。</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left="420"/>
        <w:rPr>
          <w:rFonts w:ascii="宋体" w:hAnsi="宋体" w:eastAsia="宋体"/>
        </w:rPr>
      </w:pPr>
      <w:r>
        <w:rPr>
          <w:rFonts w:ascii="宋体" w:hAnsi="宋体" w:eastAsia="宋体"/>
        </w:rPr>
        <w:t>充分利用媒体和宣传材料进行健康知识的普及工作；</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left="420"/>
        <w:rPr>
          <w:rFonts w:ascii="宋体" w:hAnsi="宋体" w:eastAsia="宋体"/>
        </w:rPr>
      </w:pPr>
      <w:r>
        <w:rPr>
          <w:rFonts w:ascii="宋体" w:hAnsi="宋体" w:eastAsia="宋体"/>
        </w:rPr>
        <w:t>利用重大卫生宣传日进行大型宣传活动；</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left="420"/>
        <w:rPr>
          <w:rFonts w:ascii="宋体" w:hAnsi="宋体" w:eastAsia="宋体"/>
        </w:rPr>
      </w:pPr>
      <w:r>
        <w:rPr>
          <w:rFonts w:ascii="宋体" w:hAnsi="宋体" w:eastAsia="宋体"/>
        </w:rPr>
        <w:t>继续开展“相约健康社区行”活动；</w:t>
      </w:r>
    </w:p>
    <w:p>
      <w:pPr>
        <w:widowControl/>
        <w:numPr>
          <w:ilvl w:val="0"/>
          <w:numId w:val="1"/>
        </w:numPr>
        <w:tabs>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rPr>
          <w:rFonts w:ascii="宋体" w:hAnsi="宋体" w:eastAsia="宋体"/>
        </w:rPr>
      </w:pPr>
      <w:r>
        <w:rPr>
          <w:rFonts w:ascii="宋体" w:hAnsi="宋体" w:eastAsia="宋体"/>
        </w:rPr>
        <w:t>举办一次全市规模的健康知识有奖竟答活动。</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rPr>
          <w:rFonts w:ascii="宋体" w:hAnsi="宋体" w:eastAsia="宋体"/>
        </w:rPr>
      </w:pPr>
      <w:r>
        <w:rPr>
          <w:rFonts w:ascii="宋体" w:hAnsi="宋体" w:eastAsia="宋体"/>
        </w:rPr>
        <w:t>搞好外培内训工作，提高我市健康教育队伍整体素质。</w:t>
      </w:r>
    </w:p>
    <w:p>
      <w:pPr>
        <w:widowControl/>
        <w:numPr>
          <w:ilvl w:val="0"/>
          <w:numId w:val="1"/>
        </w:numPr>
        <w:tabs>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rPr>
          <w:rFonts w:ascii="宋体" w:hAnsi="宋体" w:eastAsia="宋体"/>
        </w:rPr>
      </w:pPr>
      <w:r>
        <w:rPr>
          <w:rFonts w:ascii="宋体" w:hAnsi="宋体" w:eastAsia="宋体"/>
        </w:rPr>
        <w:t>对全市各行业各部门专（兼）职健康教育人员进行培训。</w:t>
      </w:r>
    </w:p>
    <w:p>
      <w:pPr>
        <w:widowControl/>
        <w:numPr>
          <w:ilvl w:val="0"/>
          <w:numId w:val="1"/>
        </w:numPr>
        <w:tabs>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rPr>
          <w:rFonts w:ascii="宋体" w:hAnsi="宋体" w:eastAsia="宋体"/>
        </w:rPr>
      </w:pPr>
      <w:r>
        <w:rPr>
          <w:rFonts w:ascii="宋体" w:hAnsi="宋体" w:eastAsia="宋体"/>
        </w:rPr>
        <w:t>进行内部培训提高全所人员业务素质。</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加强“唐山公众健康教育网”的建设；</w:t>
      </w:r>
    </w:p>
    <w:p>
      <w:pPr>
        <w:pStyle w:val="6"/>
        <w:rPr>
          <w:sz w:val="21"/>
          <w:lang w:eastAsia="zh-CN"/>
        </w:rPr>
      </w:pPr>
      <w:r>
        <w:rPr>
          <w:sz w:val="21"/>
          <w:lang w:eastAsia="zh-CN"/>
        </w:rPr>
        <w:t>配合市爱卫办共同搞好201</w:t>
      </w:r>
      <w:r>
        <w:rPr>
          <w:rFonts w:hint="eastAsia"/>
          <w:sz w:val="21"/>
          <w:lang w:eastAsia="zh-CN"/>
        </w:rPr>
        <w:t>9</w:t>
      </w:r>
      <w:r>
        <w:rPr>
          <w:sz w:val="21"/>
          <w:lang w:eastAsia="zh-CN"/>
        </w:rPr>
        <w:t>年健康教育达标单位验收批审工作。</w:t>
      </w:r>
    </w:p>
    <w:p>
      <w:pPr>
        <w:pStyle w:val="6"/>
        <w:rPr>
          <w:sz w:val="21"/>
          <w:lang w:eastAsia="zh-CN"/>
        </w:rPr>
      </w:pPr>
    </w:p>
    <w:p>
      <w:pPr>
        <w:spacing w:line="36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收支预算总表</w:t>
      </w:r>
    </w:p>
    <w:tbl>
      <w:tblPr>
        <w:tblStyle w:val="4"/>
        <w:tblW w:w="9409" w:type="dxa"/>
        <w:jc w:val="center"/>
        <w:tblLayout w:type="fixed"/>
        <w:tblCellMar>
          <w:top w:w="0" w:type="dxa"/>
          <w:left w:w="108" w:type="dxa"/>
          <w:bottom w:w="0" w:type="dxa"/>
          <w:right w:w="108" w:type="dxa"/>
        </w:tblCellMar>
      </w:tblPr>
      <w:tblGrid>
        <w:gridCol w:w="1426"/>
        <w:gridCol w:w="4961"/>
        <w:gridCol w:w="3022"/>
      </w:tblGrid>
      <w:tr>
        <w:tblPrEx>
          <w:tblCellMar>
            <w:top w:w="0" w:type="dxa"/>
            <w:left w:w="108" w:type="dxa"/>
            <w:bottom w:w="0" w:type="dxa"/>
            <w:right w:w="108" w:type="dxa"/>
          </w:tblCellMar>
        </w:tblPrEx>
        <w:trPr>
          <w:cantSplit/>
          <w:trHeight w:val="312" w:hRule="atLeast"/>
          <w:tblHeader/>
          <w:jc w:val="center"/>
        </w:trPr>
        <w:tc>
          <w:tcPr>
            <w:tcW w:w="6387" w:type="dxa"/>
            <w:gridSpan w:val="2"/>
            <w:tcBorders>
              <w:bottom w:val="single" w:color="auto" w:sz="4" w:space="0"/>
            </w:tcBorders>
            <w:shd w:val="clear" w:color="auto" w:fill="auto"/>
            <w:noWrap/>
            <w:vAlign w:val="center"/>
          </w:tcPr>
          <w:p>
            <w:pPr>
              <w:widowControl/>
              <w:jc w:val="left"/>
              <w:rPr>
                <w:rFonts w:ascii="黑体" w:eastAsia="黑体"/>
                <w:b/>
              </w:rPr>
            </w:pPr>
            <w:r>
              <w:rPr>
                <w:rFonts w:ascii="宋体" w:hAnsi="宋体"/>
                <w:sz w:val="28"/>
              </w:rPr>
              <w:t>617008唐山市医学科学情报站</w:t>
            </w:r>
          </w:p>
        </w:tc>
        <w:tc>
          <w:tcPr>
            <w:tcW w:w="3022" w:type="dxa"/>
            <w:tcBorders>
              <w:bottom w:val="single" w:color="auto" w:sz="4" w:space="0"/>
            </w:tcBorders>
            <w:shd w:val="clear" w:color="auto" w:fill="auto"/>
            <w:noWrap/>
            <w:vAlign w:val="center"/>
          </w:tcPr>
          <w:p>
            <w:pPr>
              <w:widowControl/>
              <w:jc w:val="right"/>
              <w:rPr>
                <w:rFonts w:ascii="黑体" w:eastAsia="黑体"/>
                <w:b/>
              </w:rPr>
            </w:pPr>
            <w:r>
              <w:rPr>
                <w:rFonts w:ascii="宋体" w:hAnsi="宋体"/>
                <w:sz w:val="24"/>
              </w:rPr>
              <w:t>单位：万元</w:t>
            </w:r>
          </w:p>
        </w:tc>
      </w:tr>
      <w:tr>
        <w:tblPrEx>
          <w:tblCellMar>
            <w:top w:w="0" w:type="dxa"/>
            <w:left w:w="108" w:type="dxa"/>
            <w:bottom w:w="0" w:type="dxa"/>
            <w:right w:w="108" w:type="dxa"/>
          </w:tblCellMar>
        </w:tblPrEx>
        <w:trPr>
          <w:cantSplit/>
          <w:trHeight w:val="312" w:hRule="atLeast"/>
          <w:tblHeader/>
          <w:jc w:val="center"/>
        </w:trPr>
        <w:tc>
          <w:tcPr>
            <w:tcW w:w="142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项目代码</w:t>
            </w:r>
          </w:p>
        </w:tc>
        <w:tc>
          <w:tcPr>
            <w:tcW w:w="496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预算收支项目</w:t>
            </w:r>
          </w:p>
        </w:tc>
        <w:tc>
          <w:tcPr>
            <w:tcW w:w="30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预算金额</w:t>
            </w:r>
          </w:p>
        </w:tc>
      </w:tr>
      <w:tr>
        <w:tblPrEx>
          <w:tblCellMar>
            <w:top w:w="0" w:type="dxa"/>
            <w:left w:w="108" w:type="dxa"/>
            <w:bottom w:w="0" w:type="dxa"/>
            <w:right w:w="108" w:type="dxa"/>
          </w:tblCellMar>
        </w:tblPrEx>
        <w:trPr>
          <w:cantSplit/>
          <w:trHeight w:val="312" w:hRule="atLeast"/>
          <w:tblHeader/>
          <w:jc w:val="center"/>
        </w:trPr>
        <w:tc>
          <w:tcPr>
            <w:tcW w:w="142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c>
          <w:tcPr>
            <w:tcW w:w="496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c>
          <w:tcPr>
            <w:tcW w:w="302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r>
      <w:tr>
        <w:tblPrEx>
          <w:tblCellMar>
            <w:top w:w="0" w:type="dxa"/>
            <w:left w:w="108" w:type="dxa"/>
            <w:bottom w:w="0" w:type="dxa"/>
            <w:right w:w="108" w:type="dxa"/>
          </w:tblCellMar>
        </w:tblPrEx>
        <w:trPr>
          <w:cantSplit/>
          <w:trHeight w:val="312" w:hRule="atLeast"/>
          <w:tblHeader/>
          <w:jc w:val="center"/>
        </w:trPr>
        <w:tc>
          <w:tcPr>
            <w:tcW w:w="142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p>
        </w:tc>
        <w:tc>
          <w:tcPr>
            <w:tcW w:w="30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预算收入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191.6</w:t>
            </w: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一般公共预算拨款</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191.6</w:t>
            </w: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其中：财政拨款（补助）收入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191.6</w:t>
            </w: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行政事业性收费</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罚没收入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国有资源（资产）有偿使用收入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国有资本经营收入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政府住房基金收入（原债务收入）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上级转移支付资金</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其中：一般性转移支付</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专项转移支付</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其他</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政府性基金预算拨款安排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国有资本经营预算收入安排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其他来源收入安排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其中：事业收入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上级补助收入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附属单位上缴收入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用事业基金弥补收支差额</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其他收入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纳入财政专户</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高中及其以上教育收费</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预算支出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191.6</w:t>
            </w: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人员经费支出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175.87</w:t>
            </w: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其中：工资福利支出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157.18</w:t>
            </w: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对个人和家庭补助</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18.69</w:t>
            </w: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15.73</w:t>
            </w: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其中：正常公用经费支出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14.98</w:t>
            </w: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0.75</w:t>
            </w: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专项项目支出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其他支出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CellMar>
            <w:top w:w="0" w:type="dxa"/>
            <w:left w:w="108" w:type="dxa"/>
            <w:bottom w:w="0" w:type="dxa"/>
            <w:right w:w="108" w:type="dxa"/>
          </w:tblCellMar>
        </w:tblPrEx>
        <w:trPr>
          <w:cantSplit/>
          <w:trHeight w:val="312" w:hRule="atLeast"/>
          <w:jc w:val="center"/>
        </w:trPr>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结    余</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bl>
    <w:p>
      <w:pPr>
        <w:spacing w:line="20" w:lineRule="exact"/>
        <w:jc w:val="left"/>
      </w:pPr>
    </w:p>
    <w:p>
      <w:pPr>
        <w:spacing w:line="360" w:lineRule="auto"/>
        <w:jc w:val="left"/>
        <w:rPr>
          <w:rFonts w:ascii="宋体" w:hAnsi="宋体" w:eastAsia="宋体"/>
          <w:b/>
          <w:color w:val="000000"/>
          <w:sz w:val="28"/>
        </w:rPr>
        <w:sectPr>
          <w:headerReference r:id="rId3" w:type="default"/>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人员经费预算</w:t>
      </w:r>
    </w:p>
    <w:tbl>
      <w:tblPr>
        <w:tblStyle w:val="4"/>
        <w:tblW w:w="15599" w:type="dxa"/>
        <w:tblInd w:w="-620" w:type="dxa"/>
        <w:tblLayout w:type="fixed"/>
        <w:tblCellMar>
          <w:top w:w="0" w:type="dxa"/>
          <w:left w:w="108" w:type="dxa"/>
          <w:bottom w:w="0" w:type="dxa"/>
          <w:right w:w="108" w:type="dxa"/>
        </w:tblCellMar>
      </w:tblPr>
      <w:tblGrid>
        <w:gridCol w:w="1883"/>
        <w:gridCol w:w="1883"/>
        <w:gridCol w:w="3483"/>
        <w:gridCol w:w="1701"/>
        <w:gridCol w:w="1559"/>
        <w:gridCol w:w="1559"/>
        <w:gridCol w:w="1276"/>
        <w:gridCol w:w="1134"/>
        <w:gridCol w:w="1121"/>
      </w:tblGrid>
      <w:tr>
        <w:tblPrEx>
          <w:tblCellMar>
            <w:top w:w="0" w:type="dxa"/>
            <w:left w:w="108" w:type="dxa"/>
            <w:bottom w:w="0" w:type="dxa"/>
            <w:right w:w="108" w:type="dxa"/>
          </w:tblCellMar>
        </w:tblPrEx>
        <w:trPr>
          <w:cantSplit/>
          <w:trHeight w:val="314" w:hRule="atLeast"/>
          <w:tblHeader/>
        </w:trPr>
        <w:tc>
          <w:tcPr>
            <w:tcW w:w="7249" w:type="dxa"/>
            <w:gridSpan w:val="3"/>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617008唐山市医学科学情报站</w:t>
            </w:r>
          </w:p>
        </w:tc>
        <w:tc>
          <w:tcPr>
            <w:tcW w:w="8350" w:type="dxa"/>
            <w:gridSpan w:val="6"/>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CellMar>
            <w:top w:w="0" w:type="dxa"/>
            <w:left w:w="108" w:type="dxa"/>
            <w:bottom w:w="0" w:type="dxa"/>
            <w:right w:w="108" w:type="dxa"/>
          </w:tblCellMar>
        </w:tblPrEx>
        <w:trPr>
          <w:cantSplit/>
          <w:trHeight w:val="218" w:hRule="atLeast"/>
          <w:tblHeader/>
        </w:trPr>
        <w:tc>
          <w:tcPr>
            <w:tcW w:w="188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1883"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经济分类科目编码</w:t>
            </w:r>
          </w:p>
        </w:tc>
        <w:tc>
          <w:tcPr>
            <w:tcW w:w="348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8350"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合计</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21"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r>
      <w:tr>
        <w:tblPrEx>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人员经费</w:t>
            </w:r>
          </w:p>
        </w:tc>
        <w:tc>
          <w:tcPr>
            <w:tcW w:w="1701"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175.87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175.87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一、工资福利支出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157.18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157.18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1、基本工资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51.55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51.55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9.79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9.79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1）工作津贴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2）生活补贴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3）（特殊）岗位津贴（补贴）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4）在职人员取暖补贴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7.16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7.16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5）在职人员物业服务补贴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2.38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2.38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6）规范津补贴后仍继续保留的补贴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回族补贴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职工劳模荣誉津贴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7）上述项目之外的津贴补贴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0.25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0.25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增发津补贴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女职工卫生费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0.25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0.25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30103</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3、奖金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4、社会保障缴费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45.08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45.08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2080505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30108</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1）机关事业单位基本养老保险缴费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18.27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18.27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2）职业年金缴费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2101102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30110</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3）职工基本医疗保险缴费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6.94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6.94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2101102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4）公务员医疗补助缴费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18.47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18.47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5）事业单位失业保险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0.53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0.53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6）行政事业单位工伤保险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0.64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0.64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7）职工生育保险费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0.23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0.23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2210201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30113</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10.96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10.96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39.80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39.80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1）基础性绩效工资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24.85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24.85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2）奖励性绩效工资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10.65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10.65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3）事业单位上年度12月份基本工资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4.30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4.30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7、其他工资福利支出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人事代理人员工资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人事代理人员社保缴费和住房公积金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其他编外人员工资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其他编外人员社保缴费和住房公积金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病假两个月以上期间的人员工资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教师超工作量津贴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各种加班工资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预留人员经费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二、对个人和家庭的补助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18.69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18.69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1、离休费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1）离休人员取暖补贴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2）离休人员物业服务补贴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3）其他离休费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2、退休费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18.64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18.64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1）退休人员取暖补贴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12.85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12.85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2）退休人员物业服务补贴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4.54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3）其他退休费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1.25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30304</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3、抚恤金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30305</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4、生活补助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5、医疗费补助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30308</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6、助学金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7、奖励金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0.05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0.05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1）独生子女父母奖励</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0.05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0.05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2）其他奖励金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8、其他对个人和家庭的补助支出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单位正常公用经费支出安排表</w:t>
      </w:r>
    </w:p>
    <w:tbl>
      <w:tblPr>
        <w:tblStyle w:val="4"/>
        <w:tblW w:w="14098" w:type="dxa"/>
        <w:tblInd w:w="93" w:type="dxa"/>
        <w:tblLayout w:type="fixed"/>
        <w:tblCellMar>
          <w:top w:w="0" w:type="dxa"/>
          <w:left w:w="108" w:type="dxa"/>
          <w:bottom w:w="0" w:type="dxa"/>
          <w:right w:w="108" w:type="dxa"/>
        </w:tblCellMar>
      </w:tblPr>
      <w:tblGrid>
        <w:gridCol w:w="1495"/>
        <w:gridCol w:w="1495"/>
        <w:gridCol w:w="2545"/>
        <w:gridCol w:w="2560"/>
        <w:gridCol w:w="992"/>
        <w:gridCol w:w="993"/>
        <w:gridCol w:w="992"/>
        <w:gridCol w:w="1134"/>
        <w:gridCol w:w="992"/>
        <w:gridCol w:w="900"/>
      </w:tblGrid>
      <w:tr>
        <w:tblPrEx>
          <w:tblCellMar>
            <w:top w:w="0" w:type="dxa"/>
            <w:left w:w="108" w:type="dxa"/>
            <w:bottom w:w="0" w:type="dxa"/>
            <w:right w:w="108" w:type="dxa"/>
          </w:tblCellMar>
        </w:tblPrEx>
        <w:trPr>
          <w:cantSplit/>
          <w:trHeight w:val="375" w:hRule="atLeast"/>
          <w:tblHeader/>
        </w:trPr>
        <w:tc>
          <w:tcPr>
            <w:tcW w:w="5535" w:type="dxa"/>
            <w:gridSpan w:val="3"/>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617008唐山市医学科学情报站</w:t>
            </w:r>
          </w:p>
        </w:tc>
        <w:tc>
          <w:tcPr>
            <w:tcW w:w="8563" w:type="dxa"/>
            <w:gridSpan w:val="7"/>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CellMar>
            <w:top w:w="0" w:type="dxa"/>
            <w:left w:w="108" w:type="dxa"/>
            <w:bottom w:w="0" w:type="dxa"/>
            <w:right w:w="108" w:type="dxa"/>
          </w:tblCellMar>
        </w:tblPrEx>
        <w:trPr>
          <w:cantSplit/>
          <w:trHeight w:val="259" w:hRule="atLeast"/>
          <w:tblHeader/>
        </w:trPr>
        <w:tc>
          <w:tcPr>
            <w:tcW w:w="149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149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经济分类科目编码</w:t>
            </w:r>
          </w:p>
        </w:tc>
        <w:tc>
          <w:tcPr>
            <w:tcW w:w="5105"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6003"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正常公用经费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14.98</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14.98</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一、定额安排公用经费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7.83</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7.83</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1、办公费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0.80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0.80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2、邮电费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0.68</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0.68</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1）单位邮电费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0.68</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0.68</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2）通讯费补贴</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3、差旅费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2.25</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4、物业管理费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0.75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0.75</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30213</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5、维修（护）费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30231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6、公务用车运行维护费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3.20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3.20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30239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7、公务交通补贴</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8、其他商品和服务支出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0.15</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二、按规定比例提取安排公用经费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7.15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7.15</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2050803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30216</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1、培训费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1.31</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1.31</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2、公务接待费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0.16</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0.16</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30228</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3、工会经费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1.74</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1.74</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30229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1.29</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5、其他</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2.65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2.65</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1）离休人员福利费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2）退休人员福利费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1.78</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1.78</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3）离休干部公用经费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4）离休干部特需费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5）退休干部公用经费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0.70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0.70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6）退休干部特需费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0.17</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三、非定额安排公用经费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30205</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1、水费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30206</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2100199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30208</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3、取暖费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bl>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hAnsi="黑体" w:eastAsia="黑体"/>
          <w:b/>
          <w:sz w:val="32"/>
          <w:szCs w:val="32"/>
        </w:rPr>
      </w:pPr>
      <w:r>
        <w:rPr>
          <w:rFonts w:hint="eastAsia" w:ascii="黑体" w:hAnsi="黑体" w:eastAsia="黑体"/>
          <w:b/>
          <w:sz w:val="32"/>
          <w:szCs w:val="32"/>
        </w:rPr>
        <w:t>“三公”及会议培训经费预算</w:t>
      </w:r>
    </w:p>
    <w:tbl>
      <w:tblPr>
        <w:tblStyle w:val="4"/>
        <w:tblW w:w="14083" w:type="dxa"/>
        <w:tblInd w:w="93" w:type="dxa"/>
        <w:tblLayout w:type="fixed"/>
        <w:tblCellMar>
          <w:top w:w="0" w:type="dxa"/>
          <w:left w:w="108" w:type="dxa"/>
          <w:bottom w:w="0" w:type="dxa"/>
          <w:right w:w="108" w:type="dxa"/>
        </w:tblCellMar>
      </w:tblPr>
      <w:tblGrid>
        <w:gridCol w:w="2036"/>
        <w:gridCol w:w="3127"/>
        <w:gridCol w:w="1231"/>
        <w:gridCol w:w="1276"/>
        <w:gridCol w:w="1417"/>
        <w:gridCol w:w="1560"/>
        <w:gridCol w:w="1134"/>
        <w:gridCol w:w="1134"/>
        <w:gridCol w:w="1168"/>
      </w:tblGrid>
      <w:tr>
        <w:tblPrEx>
          <w:tblCellMar>
            <w:top w:w="0" w:type="dxa"/>
            <w:left w:w="108" w:type="dxa"/>
            <w:bottom w:w="0" w:type="dxa"/>
            <w:right w:w="108" w:type="dxa"/>
          </w:tblCellMar>
        </w:tblPrEx>
        <w:trPr>
          <w:cantSplit/>
          <w:trHeight w:val="359" w:hRule="atLeast"/>
          <w:tblHeader/>
        </w:trPr>
        <w:tc>
          <w:tcPr>
            <w:tcW w:w="5163" w:type="dxa"/>
            <w:gridSpan w:val="2"/>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617008唐山市医学科学情报站</w:t>
            </w:r>
          </w:p>
        </w:tc>
        <w:tc>
          <w:tcPr>
            <w:tcW w:w="8920" w:type="dxa"/>
            <w:gridSpan w:val="7"/>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CellMar>
            <w:top w:w="0" w:type="dxa"/>
            <w:left w:w="108" w:type="dxa"/>
            <w:bottom w:w="0" w:type="dxa"/>
            <w:right w:w="108" w:type="dxa"/>
          </w:tblCellMar>
        </w:tblPrEx>
        <w:trPr>
          <w:cantSplit/>
          <w:trHeight w:val="249" w:hRule="atLeast"/>
          <w:tblHeader/>
        </w:trPr>
        <w:tc>
          <w:tcPr>
            <w:tcW w:w="2036"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4358"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768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56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6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CellMar>
            <w:top w:w="0" w:type="dxa"/>
            <w:left w:w="108" w:type="dxa"/>
            <w:bottom w:w="0" w:type="dxa"/>
            <w:right w:w="108" w:type="dxa"/>
          </w:tblCellMar>
        </w:tblPrEx>
        <w:trPr>
          <w:cantSplit/>
          <w:trHeight w:val="312" w:hRule="atLeast"/>
          <w:tblHeader/>
        </w:trPr>
        <w:tc>
          <w:tcPr>
            <w:tcW w:w="2036"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eastAsiaTheme="minorEastAsia"/>
                <w:color w:val="000000"/>
                <w:kern w:val="0"/>
                <w:sz w:val="21"/>
                <w:szCs w:val="21"/>
                <w:lang w:val="en-US" w:eastAsia="zh-CN" w:bidi="ar-SA"/>
              </w:rPr>
            </w:pPr>
            <w:r>
              <w:rPr>
                <w:rFonts w:hint="eastAsia" w:ascii="宋体" w:hAnsi="宋体" w:cs="宋体"/>
                <w:color w:val="000000"/>
                <w:kern w:val="0"/>
                <w:szCs w:val="21"/>
              </w:rPr>
              <w:t>一、“三公”经费小计</w:t>
            </w:r>
          </w:p>
        </w:tc>
        <w:tc>
          <w:tcPr>
            <w:tcW w:w="4358"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right"/>
              <w:rPr>
                <w:rFonts w:hint="eastAsia" w:ascii="宋体" w:hAnsi="宋体" w:cs="宋体" w:eastAsiaTheme="minorEastAsia"/>
                <w:color w:val="000000"/>
                <w:kern w:val="0"/>
                <w:sz w:val="21"/>
                <w:szCs w:val="21"/>
                <w:lang w:val="en-US" w:eastAsia="zh-CN" w:bidi="ar-SA"/>
              </w:rPr>
            </w:pPr>
            <w:r>
              <w:rPr>
                <w:rFonts w:ascii="宋体" w:hAnsi="宋体" w:cs="宋体"/>
                <w:color w:val="000000"/>
                <w:kern w:val="0"/>
                <w:szCs w:val="21"/>
              </w:rPr>
              <w:t>3.3</w:t>
            </w:r>
            <w:r>
              <w:rPr>
                <w:rFonts w:hint="eastAsia" w:ascii="宋体" w:hAnsi="宋体" w:cs="宋体"/>
                <w:color w:val="000000"/>
                <w:kern w:val="0"/>
                <w:szCs w:val="21"/>
                <w:lang w:val="en-US" w:eastAsia="zh-CN"/>
              </w:rPr>
              <w:t>6</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eastAsiaTheme="minorEastAsia"/>
                <w:color w:val="000000"/>
                <w:kern w:val="0"/>
                <w:sz w:val="21"/>
                <w:szCs w:val="21"/>
                <w:lang w:val="en-US" w:eastAsia="zh-CN" w:bidi="ar-SA"/>
              </w:rPr>
            </w:pPr>
            <w:r>
              <w:rPr>
                <w:rFonts w:ascii="宋体" w:hAnsi="宋体" w:cs="宋体"/>
                <w:color w:val="000000"/>
                <w:kern w:val="0"/>
                <w:szCs w:val="21"/>
              </w:rPr>
              <w:t>3.3</w:t>
            </w:r>
            <w:r>
              <w:rPr>
                <w:rFonts w:hint="eastAsia" w:ascii="宋体" w:hAnsi="宋体" w:cs="宋体"/>
                <w:color w:val="000000"/>
                <w:kern w:val="0"/>
                <w:szCs w:val="21"/>
                <w:lang w:val="en-US" w:eastAsia="zh-CN"/>
              </w:rPr>
              <w:t>6</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eastAsiaTheme="minorEastAsia"/>
                <w:color w:val="000000"/>
                <w:kern w:val="0"/>
                <w:sz w:val="21"/>
                <w:szCs w:val="21"/>
                <w:lang w:val="en-US" w:eastAsia="zh-CN" w:bidi="ar-SA"/>
              </w:rPr>
            </w:pPr>
            <w:r>
              <w:rPr>
                <w:rFonts w:hint="eastAsia" w:ascii="宋体" w:hAnsi="宋体" w:cs="宋体"/>
                <w:color w:val="000000"/>
                <w:kern w:val="0"/>
                <w:szCs w:val="21"/>
              </w:rPr>
              <w:t>（二）公务用车购置及运维费</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r>
              <w:rPr>
                <w:rFonts w:ascii="宋体" w:hAnsi="宋体" w:cs="宋体"/>
                <w:color w:val="000000"/>
                <w:kern w:val="0"/>
                <w:szCs w:val="21"/>
              </w:rPr>
              <w:t>3.20</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r>
              <w:rPr>
                <w:rFonts w:ascii="宋体" w:hAnsi="宋体" w:cs="宋体"/>
                <w:color w:val="000000"/>
                <w:kern w:val="0"/>
                <w:szCs w:val="21"/>
              </w:rPr>
              <w:t>3.20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eastAsiaTheme="minorEastAsia"/>
                <w:color w:val="000000"/>
                <w:kern w:val="0"/>
                <w:sz w:val="21"/>
                <w:szCs w:val="21"/>
                <w:lang w:val="en-US" w:eastAsia="zh-CN" w:bidi="ar-SA"/>
              </w:rPr>
            </w:pPr>
            <w:r>
              <w:rPr>
                <w:rFonts w:ascii="宋体" w:hAnsi="宋体" w:cs="宋体"/>
                <w:color w:val="000000"/>
                <w:kern w:val="0"/>
                <w:szCs w:val="21"/>
              </w:rPr>
              <w:t xml:space="preserve">      公务用车运行维护费</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r>
              <w:rPr>
                <w:rFonts w:ascii="宋体" w:hAnsi="宋体" w:cs="宋体"/>
                <w:color w:val="000000"/>
                <w:kern w:val="0"/>
                <w:szCs w:val="21"/>
              </w:rPr>
              <w:t>3.20</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r>
              <w:rPr>
                <w:rFonts w:ascii="宋体" w:hAnsi="宋体" w:cs="宋体"/>
                <w:color w:val="000000"/>
                <w:kern w:val="0"/>
                <w:szCs w:val="21"/>
              </w:rPr>
              <w:t>3.20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eastAsiaTheme="minorEastAsia"/>
                <w:color w:val="000000"/>
                <w:kern w:val="0"/>
                <w:sz w:val="21"/>
                <w:szCs w:val="21"/>
                <w:lang w:val="en-US" w:eastAsia="zh-CN" w:bidi="ar-SA"/>
              </w:rPr>
            </w:pPr>
            <w:r>
              <w:rPr>
                <w:rFonts w:hint="eastAsia" w:ascii="宋体" w:hAnsi="宋体" w:cs="宋体"/>
                <w:color w:val="000000"/>
                <w:kern w:val="0"/>
                <w:szCs w:val="21"/>
              </w:rPr>
              <w:t>（三）公务接待费</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default" w:ascii="宋体" w:hAnsi="宋体" w:cs="宋体" w:eastAsiaTheme="minorEastAsia"/>
                <w:color w:val="000000"/>
                <w:kern w:val="0"/>
                <w:sz w:val="21"/>
                <w:szCs w:val="21"/>
                <w:lang w:val="en-US" w:eastAsia="zh-CN" w:bidi="ar-SA"/>
              </w:rPr>
            </w:pPr>
            <w:r>
              <w:rPr>
                <w:rFonts w:hint="eastAsia" w:ascii="宋体" w:hAnsi="宋体" w:cs="宋体"/>
                <w:color w:val="000000"/>
                <w:kern w:val="0"/>
                <w:szCs w:val="21"/>
                <w:lang w:val="en-US" w:eastAsia="zh-CN"/>
              </w:rPr>
              <w:t>0.16</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eastAsiaTheme="minorEastAsia"/>
                <w:color w:val="000000"/>
                <w:kern w:val="0"/>
                <w:sz w:val="21"/>
                <w:szCs w:val="21"/>
                <w:lang w:val="en-US" w:eastAsia="zh-CN" w:bidi="ar-SA"/>
              </w:rPr>
            </w:pPr>
            <w:r>
              <w:rPr>
                <w:rFonts w:ascii="宋体" w:hAnsi="宋体" w:cs="宋体"/>
                <w:color w:val="000000"/>
                <w:kern w:val="0"/>
                <w:szCs w:val="21"/>
              </w:rPr>
              <w:t>0.1</w:t>
            </w:r>
            <w:r>
              <w:rPr>
                <w:rFonts w:hint="eastAsia" w:ascii="宋体" w:hAnsi="宋体" w:cs="宋体"/>
                <w:color w:val="000000"/>
                <w:kern w:val="0"/>
                <w:szCs w:val="21"/>
                <w:lang w:val="en-US" w:eastAsia="zh-CN"/>
              </w:rPr>
              <w:t>6</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eastAsiaTheme="minorEastAsia"/>
                <w:color w:val="000000"/>
                <w:kern w:val="0"/>
                <w:sz w:val="21"/>
                <w:szCs w:val="21"/>
                <w:lang w:val="en-US" w:eastAsia="zh-CN" w:bidi="ar-SA"/>
              </w:rPr>
            </w:pPr>
            <w:r>
              <w:rPr>
                <w:rFonts w:hint="eastAsia" w:ascii="宋体" w:hAnsi="宋体" w:cs="宋体"/>
                <w:color w:val="000000"/>
                <w:kern w:val="0"/>
                <w:szCs w:val="21"/>
              </w:rPr>
              <w:t>三、培训费</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default" w:ascii="宋体" w:hAnsi="宋体" w:cs="宋体" w:eastAsiaTheme="minorEastAsia"/>
                <w:color w:val="000000"/>
                <w:kern w:val="0"/>
                <w:sz w:val="21"/>
                <w:szCs w:val="21"/>
                <w:lang w:val="en-US" w:eastAsia="zh-CN" w:bidi="ar-SA"/>
              </w:rPr>
            </w:pPr>
            <w:r>
              <w:rPr>
                <w:rFonts w:hint="eastAsia" w:ascii="宋体" w:hAnsi="宋体" w:cs="宋体"/>
                <w:color w:val="000000"/>
                <w:kern w:val="0"/>
                <w:szCs w:val="21"/>
                <w:lang w:val="en-US" w:eastAsia="zh-CN"/>
              </w:rPr>
              <w:t>1.31</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default" w:ascii="宋体" w:hAnsi="宋体" w:cs="宋体" w:eastAsiaTheme="minorEastAsia"/>
                <w:color w:val="000000"/>
                <w:kern w:val="0"/>
                <w:sz w:val="21"/>
                <w:szCs w:val="21"/>
                <w:lang w:val="en-US" w:eastAsia="zh-CN" w:bidi="ar-SA"/>
              </w:rPr>
            </w:pPr>
            <w:r>
              <w:rPr>
                <w:rFonts w:ascii="宋体" w:hAnsi="宋体" w:cs="宋体"/>
                <w:color w:val="000000"/>
                <w:kern w:val="0"/>
                <w:szCs w:val="21"/>
              </w:rPr>
              <w:t>1.</w:t>
            </w:r>
            <w:r>
              <w:rPr>
                <w:rFonts w:hint="eastAsia" w:ascii="宋体" w:hAnsi="宋体" w:cs="宋体"/>
                <w:color w:val="000000"/>
                <w:kern w:val="0"/>
                <w:szCs w:val="21"/>
                <w:lang w:val="en-US" w:eastAsia="zh-CN"/>
              </w:rPr>
              <w:t>31</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eastAsiaTheme="minorEastAsia"/>
                <w:color w:val="000000"/>
                <w:kern w:val="0"/>
                <w:sz w:val="21"/>
                <w:szCs w:val="21"/>
                <w:lang w:val="en-US" w:eastAsia="zh-CN" w:bidi="ar-SA"/>
              </w:rPr>
            </w:pPr>
            <w:r>
              <w:rPr>
                <w:rFonts w:ascii="宋体" w:hAnsi="宋体" w:cs="宋体"/>
                <w:color w:val="000000"/>
                <w:kern w:val="0"/>
                <w:szCs w:val="21"/>
              </w:rPr>
              <w:t xml:space="preserve">     合计</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default" w:ascii="宋体" w:hAnsi="宋体" w:cs="宋体" w:eastAsiaTheme="minorEastAsia"/>
                <w:color w:val="000000"/>
                <w:kern w:val="0"/>
                <w:sz w:val="21"/>
                <w:szCs w:val="21"/>
                <w:lang w:val="en-US" w:eastAsia="zh-CN" w:bidi="ar-SA"/>
              </w:rPr>
            </w:pPr>
            <w:r>
              <w:rPr>
                <w:rFonts w:hint="eastAsia" w:ascii="宋体" w:hAnsi="宋体" w:cs="宋体"/>
                <w:color w:val="000000"/>
                <w:kern w:val="0"/>
                <w:sz w:val="21"/>
                <w:szCs w:val="21"/>
                <w:lang w:val="en-US" w:eastAsia="zh-CN" w:bidi="ar-SA"/>
              </w:rPr>
              <w:t>4.67</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default" w:ascii="宋体" w:hAnsi="宋体" w:cs="宋体" w:eastAsiaTheme="minorEastAsia"/>
                <w:color w:val="000000"/>
                <w:kern w:val="0"/>
                <w:sz w:val="21"/>
                <w:szCs w:val="21"/>
                <w:lang w:val="en-US" w:eastAsia="zh-CN" w:bidi="ar-SA"/>
              </w:rPr>
            </w:pPr>
            <w:r>
              <w:rPr>
                <w:rFonts w:hint="eastAsia" w:ascii="宋体" w:hAnsi="宋体" w:cs="宋体"/>
                <w:color w:val="000000"/>
                <w:kern w:val="0"/>
                <w:sz w:val="21"/>
                <w:szCs w:val="21"/>
                <w:lang w:val="en-US" w:eastAsia="zh-CN" w:bidi="ar-SA"/>
              </w:rPr>
              <w:t>4.67</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bl>
    <w:p>
      <w:pPr>
        <w:spacing w:line="20" w:lineRule="exact"/>
      </w:pPr>
    </w:p>
    <w:p>
      <w:pPr>
        <w:spacing w:line="360" w:lineRule="auto"/>
        <w:jc w:val="left"/>
        <w:rPr>
          <w:rFonts w:ascii="宋体" w:hAnsi="宋体" w:eastAsia="宋体"/>
          <w:b/>
          <w:color w:val="000000"/>
          <w:sz w:val="28"/>
        </w:rPr>
        <w:sectPr>
          <w:headerReference r:id="rId4" w:type="default"/>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单位专项公用经费支出安排表</w:t>
      </w:r>
    </w:p>
    <w:tbl>
      <w:tblPr>
        <w:tblStyle w:val="4"/>
        <w:tblW w:w="14083" w:type="dxa"/>
        <w:tblInd w:w="93" w:type="dxa"/>
        <w:tblLayout w:type="fixed"/>
        <w:tblCellMar>
          <w:top w:w="0" w:type="dxa"/>
          <w:left w:w="108" w:type="dxa"/>
          <w:bottom w:w="0" w:type="dxa"/>
          <w:right w:w="108" w:type="dxa"/>
        </w:tblCellMar>
      </w:tblPr>
      <w:tblGrid>
        <w:gridCol w:w="2036"/>
        <w:gridCol w:w="3127"/>
        <w:gridCol w:w="1231"/>
        <w:gridCol w:w="1276"/>
        <w:gridCol w:w="1417"/>
        <w:gridCol w:w="1560"/>
        <w:gridCol w:w="1134"/>
        <w:gridCol w:w="1134"/>
        <w:gridCol w:w="1168"/>
      </w:tblGrid>
      <w:tr>
        <w:tblPrEx>
          <w:tblCellMar>
            <w:top w:w="0" w:type="dxa"/>
            <w:left w:w="108" w:type="dxa"/>
            <w:bottom w:w="0" w:type="dxa"/>
            <w:right w:w="108" w:type="dxa"/>
          </w:tblCellMar>
        </w:tblPrEx>
        <w:trPr>
          <w:cantSplit/>
          <w:trHeight w:val="359" w:hRule="atLeast"/>
          <w:tblHeader/>
        </w:trPr>
        <w:tc>
          <w:tcPr>
            <w:tcW w:w="5163" w:type="dxa"/>
            <w:gridSpan w:val="2"/>
            <w:tcBorders>
              <w:top w:val="nil"/>
              <w:left w:val="nil"/>
              <w:bottom w:val="nil"/>
              <w:right w:val="nil"/>
            </w:tcBorders>
            <w:shd w:val="clear" w:color="auto" w:fill="auto"/>
            <w:vAlign w:val="center"/>
          </w:tcPr>
          <w:p>
            <w:pPr>
              <w:widowControl/>
              <w:jc w:val="left"/>
              <w:rPr>
                <w:rFonts w:hint="default" w:ascii="宋体" w:hAnsi="宋体" w:cs="宋体" w:eastAsiaTheme="minorEastAsia"/>
                <w:color w:val="000000"/>
                <w:kern w:val="0"/>
                <w:sz w:val="28"/>
                <w:szCs w:val="28"/>
                <w:lang w:val="en-US" w:eastAsia="zh-CN"/>
              </w:rPr>
            </w:pPr>
            <w:r>
              <w:rPr>
                <w:rFonts w:ascii="宋体" w:hAnsi="宋体" w:cs="宋体"/>
                <w:color w:val="000000"/>
                <w:kern w:val="0"/>
                <w:sz w:val="28"/>
                <w:szCs w:val="28"/>
              </w:rPr>
              <w:t>617</w:t>
            </w:r>
            <w:r>
              <w:rPr>
                <w:rFonts w:hint="eastAsia" w:ascii="宋体" w:hAnsi="宋体" w:cs="宋体"/>
                <w:color w:val="000000"/>
                <w:kern w:val="0"/>
                <w:sz w:val="28"/>
                <w:szCs w:val="28"/>
                <w:lang w:val="en-US" w:eastAsia="zh-CN"/>
              </w:rPr>
              <w:t>008唐山市医学科学情报站</w:t>
            </w:r>
          </w:p>
        </w:tc>
        <w:tc>
          <w:tcPr>
            <w:tcW w:w="8920" w:type="dxa"/>
            <w:gridSpan w:val="7"/>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CellMar>
            <w:top w:w="0" w:type="dxa"/>
            <w:left w:w="108" w:type="dxa"/>
            <w:bottom w:w="0" w:type="dxa"/>
            <w:right w:w="108" w:type="dxa"/>
          </w:tblCellMar>
        </w:tblPrEx>
        <w:trPr>
          <w:cantSplit/>
          <w:trHeight w:val="249" w:hRule="atLeast"/>
          <w:tblHeader/>
        </w:trPr>
        <w:tc>
          <w:tcPr>
            <w:tcW w:w="2036"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4358"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768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56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6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CellMar>
            <w:top w:w="0" w:type="dxa"/>
            <w:left w:w="108" w:type="dxa"/>
            <w:bottom w:w="0" w:type="dxa"/>
            <w:right w:w="108" w:type="dxa"/>
          </w:tblCellMar>
        </w:tblPrEx>
        <w:trPr>
          <w:cantSplit/>
          <w:trHeight w:val="312" w:hRule="atLeast"/>
          <w:tblHeader/>
        </w:trPr>
        <w:tc>
          <w:tcPr>
            <w:tcW w:w="2036"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eastAsiaTheme="minorEastAsia"/>
                <w:color w:val="000000"/>
                <w:kern w:val="0"/>
                <w:sz w:val="21"/>
                <w:szCs w:val="21"/>
                <w:lang w:val="en-US" w:eastAsia="zh-CN" w:bidi="ar-SA"/>
              </w:rPr>
            </w:pPr>
          </w:p>
        </w:tc>
        <w:tc>
          <w:tcPr>
            <w:tcW w:w="4358"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eastAsiaTheme="minorEastAsia"/>
                <w:color w:val="000000"/>
                <w:kern w:val="0"/>
                <w:sz w:val="22"/>
                <w:szCs w:val="22"/>
                <w:lang w:val="en-US" w:eastAsia="zh-CN" w:bidi="ar-SA"/>
              </w:rPr>
            </w:pPr>
            <w:r>
              <w:rPr>
                <w:rFonts w:hint="eastAsia" w:ascii="宋体" w:hAnsi="宋体" w:cs="宋体"/>
                <w:color w:val="000000"/>
                <w:kern w:val="0"/>
                <w:sz w:val="22"/>
              </w:rPr>
              <w:t>专项公用经费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r>
              <w:rPr>
                <w:rFonts w:ascii="宋体" w:hAnsi="宋体" w:cs="宋体"/>
                <w:color w:val="000000"/>
                <w:kern w:val="0"/>
                <w:szCs w:val="21"/>
              </w:rPr>
              <w:t>0.75</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r>
              <w:rPr>
                <w:rFonts w:ascii="宋体" w:hAnsi="宋体" w:cs="宋体"/>
                <w:color w:val="000000"/>
                <w:kern w:val="0"/>
                <w:szCs w:val="21"/>
              </w:rPr>
              <w:t>0.75</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r>
      <w:tr>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eastAsiaTheme="minorEastAsia"/>
                <w:color w:val="000000"/>
                <w:kern w:val="0"/>
                <w:sz w:val="21"/>
                <w:szCs w:val="21"/>
                <w:lang w:val="en-US" w:eastAsia="zh-CN" w:bidi="ar-SA"/>
              </w:rPr>
            </w:pPr>
            <w:r>
              <w:rPr>
                <w:rFonts w:ascii="宋体" w:hAnsi="宋体" w:cs="宋体"/>
                <w:color w:val="000000"/>
                <w:kern w:val="0"/>
                <w:szCs w:val="21"/>
              </w:rPr>
              <w:t>2100199</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eastAsiaTheme="minorEastAsia"/>
                <w:color w:val="000000"/>
                <w:kern w:val="0"/>
                <w:sz w:val="22"/>
                <w:szCs w:val="22"/>
                <w:lang w:val="en-US" w:eastAsia="zh-CN" w:bidi="ar-SA"/>
              </w:rPr>
            </w:pPr>
            <w:r>
              <w:rPr>
                <w:rFonts w:hint="eastAsia" w:ascii="宋体" w:hAnsi="宋体" w:cs="宋体"/>
                <w:color w:val="000000"/>
                <w:kern w:val="0"/>
                <w:sz w:val="22"/>
              </w:rPr>
              <w:t>计算机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r>
              <w:rPr>
                <w:rFonts w:ascii="宋体" w:hAnsi="宋体" w:cs="宋体"/>
                <w:color w:val="000000"/>
                <w:kern w:val="0"/>
                <w:szCs w:val="21"/>
              </w:rPr>
              <w:t>0.45</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r>
              <w:rPr>
                <w:rFonts w:ascii="宋体" w:hAnsi="宋体" w:cs="宋体"/>
                <w:color w:val="000000"/>
                <w:kern w:val="0"/>
                <w:szCs w:val="21"/>
              </w:rPr>
              <w:t>0.45</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r>
      <w:tr>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eastAsiaTheme="minorEastAsia"/>
                <w:color w:val="000000"/>
                <w:kern w:val="0"/>
                <w:sz w:val="21"/>
                <w:szCs w:val="21"/>
                <w:lang w:val="en-US" w:eastAsia="zh-CN" w:bidi="ar-SA"/>
              </w:rPr>
            </w:pPr>
            <w:r>
              <w:rPr>
                <w:rFonts w:ascii="宋体" w:hAnsi="宋体" w:cs="宋体"/>
                <w:color w:val="000000"/>
                <w:kern w:val="0"/>
                <w:szCs w:val="21"/>
              </w:rPr>
              <w:t>2100199</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eastAsiaTheme="minorEastAsia"/>
                <w:color w:val="000000"/>
                <w:kern w:val="0"/>
                <w:sz w:val="22"/>
                <w:szCs w:val="22"/>
                <w:lang w:val="en-US" w:eastAsia="zh-CN" w:bidi="ar-SA"/>
              </w:rPr>
            </w:pPr>
            <w:r>
              <w:rPr>
                <w:rFonts w:hint="eastAsia" w:ascii="宋体" w:hAnsi="宋体" w:cs="宋体"/>
                <w:color w:val="000000"/>
                <w:kern w:val="0"/>
                <w:sz w:val="22"/>
              </w:rPr>
              <w:t>多功能一体机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r>
              <w:rPr>
                <w:rFonts w:ascii="宋体" w:hAnsi="宋体" w:cs="宋体"/>
                <w:color w:val="000000"/>
                <w:kern w:val="0"/>
                <w:szCs w:val="21"/>
              </w:rPr>
              <w:t>0.30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r>
              <w:rPr>
                <w:rFonts w:ascii="宋体" w:hAnsi="宋体" w:cs="宋体"/>
                <w:color w:val="000000"/>
                <w:kern w:val="0"/>
                <w:szCs w:val="21"/>
              </w:rPr>
              <w:t>0.30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eastAsiaTheme="minorEastAsia"/>
                <w:color w:val="000000"/>
                <w:kern w:val="0"/>
                <w:sz w:val="21"/>
                <w:szCs w:val="21"/>
                <w:lang w:val="en-US" w:eastAsia="zh-CN" w:bidi="ar-SA"/>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人员经费计算依据情况表</w:t>
      </w:r>
    </w:p>
    <w:tbl>
      <w:tblPr>
        <w:tblStyle w:val="4"/>
        <w:tblW w:w="9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4961"/>
        <w:gridCol w:w="992"/>
        <w:gridCol w:w="993"/>
        <w:gridCol w:w="1619"/>
        <w:gridCol w:w="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jc w:val="center"/>
        </w:trPr>
        <w:tc>
          <w:tcPr>
            <w:tcW w:w="7806" w:type="dxa"/>
            <w:gridSpan w:val="4"/>
            <w:tcBorders>
              <w:top w:val="nil"/>
              <w:left w:val="nil"/>
              <w:right w:val="nil"/>
            </w:tcBorders>
            <w:shd w:val="clear" w:color="auto" w:fill="auto"/>
            <w:noWrap/>
            <w:vAlign w:val="center"/>
          </w:tcPr>
          <w:p>
            <w:pPr>
              <w:widowControl/>
              <w:jc w:val="left"/>
              <w:rPr>
                <w:rFonts w:ascii="黑体" w:eastAsia="黑体"/>
                <w:b/>
              </w:rPr>
            </w:pPr>
            <w:r>
              <w:rPr>
                <w:rFonts w:ascii="宋体" w:hAnsi="宋体"/>
                <w:sz w:val="28"/>
              </w:rPr>
              <w:t>617008唐山市医学科学情报站</w:t>
            </w:r>
          </w:p>
        </w:tc>
        <w:tc>
          <w:tcPr>
            <w:tcW w:w="1643" w:type="dxa"/>
            <w:gridSpan w:val="2"/>
            <w:tcBorders>
              <w:top w:val="nil"/>
              <w:left w:val="nil"/>
              <w:right w:val="nil"/>
            </w:tcBorders>
            <w:shd w:val="clear" w:color="auto" w:fill="auto"/>
            <w:noWrap/>
            <w:vAlign w:val="center"/>
          </w:tcPr>
          <w:p>
            <w:pPr>
              <w:widowControl/>
              <w:jc w:val="right"/>
              <w:rPr>
                <w:rFonts w:ascii="黑体" w:eastAsia="黑体"/>
                <w:b/>
              </w:rPr>
            </w:pPr>
            <w:r>
              <w:rPr>
                <w:rFonts w:hint="eastAsia" w:ascii="宋体" w:hAnsi="宋体"/>
                <w:sz w:val="24"/>
              </w:rPr>
              <w:t>单位：人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tblHeader/>
          <w:jc w:val="center"/>
        </w:trPr>
        <w:tc>
          <w:tcPr>
            <w:tcW w:w="860"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序号</w:t>
            </w:r>
          </w:p>
        </w:tc>
        <w:tc>
          <w:tcPr>
            <w:tcW w:w="4961"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   目</w:t>
            </w:r>
          </w:p>
        </w:tc>
        <w:tc>
          <w:tcPr>
            <w:tcW w:w="992"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现有数</w:t>
            </w:r>
          </w:p>
        </w:tc>
        <w:tc>
          <w:tcPr>
            <w:tcW w:w="993"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核定数</w:t>
            </w:r>
          </w:p>
        </w:tc>
        <w:tc>
          <w:tcPr>
            <w:tcW w:w="1619"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tblHeader/>
          <w:jc w:val="center"/>
        </w:trPr>
        <w:tc>
          <w:tcPr>
            <w:tcW w:w="86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496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619"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tblHeader/>
          <w:jc w:val="center"/>
        </w:trPr>
        <w:tc>
          <w:tcPr>
            <w:tcW w:w="8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496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c>
          <w:tcPr>
            <w:tcW w:w="992"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单位性质</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单位规格</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正科级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编制人数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实有人数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在职实有人数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非在职人数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离休人员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退休人员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14</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6</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实有编外人员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其中：劳务派遣</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其中：人事代理</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其中：其他编外人员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遗属</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预算年度全日制在校学生人数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1、本科生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2、专科生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3、高中生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4、中专生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5、体校生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6、技校生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7、函授生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8、夜大生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9、初中生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10、小学生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60"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31</w:t>
            </w:r>
          </w:p>
        </w:tc>
        <w:tc>
          <w:tcPr>
            <w:tcW w:w="4961"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11、幼儿</w:t>
            </w:r>
          </w:p>
        </w:tc>
        <w:tc>
          <w:tcPr>
            <w:tcW w:w="992"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bl>
    <w:p>
      <w:pPr>
        <w:spacing w:line="360" w:lineRule="auto"/>
        <w:jc w:val="left"/>
        <w:rPr>
          <w:rFonts w:ascii="宋体" w:hAnsi="宋体" w:eastAsia="宋体"/>
          <w:b/>
          <w:color w:val="000000"/>
          <w:sz w:val="28"/>
        </w:rPr>
        <w:sectPr>
          <w:headerReference r:id="rId5" w:type="default"/>
          <w:pgSz w:w="11906" w:h="16838"/>
          <w:pgMar w:top="1440" w:right="1800" w:bottom="1440" w:left="1800" w:header="851" w:footer="992" w:gutter="0"/>
          <w:cols w:space="425" w:num="1"/>
          <w:docGrid w:type="lines" w:linePitch="312" w:charSpace="0"/>
        </w:sectPr>
      </w:pPr>
    </w:p>
    <w:p>
      <w:pPr>
        <w:jc w:val="center"/>
        <w:rPr>
          <w:rFonts w:ascii="黑体" w:eastAsia="黑体"/>
          <w:sz w:val="32"/>
          <w:szCs w:val="32"/>
        </w:rPr>
      </w:pPr>
      <w:r>
        <w:rPr>
          <w:rFonts w:hint="eastAsia" w:ascii="黑体" w:eastAsia="黑体"/>
          <w:sz w:val="32"/>
          <w:szCs w:val="32"/>
        </w:rPr>
        <w:t>正常公用经费计算依据情况表</w:t>
      </w:r>
    </w:p>
    <w:tbl>
      <w:tblPr>
        <w:tblStyle w:val="4"/>
        <w:tblW w:w="9497" w:type="dxa"/>
        <w:jc w:val="center"/>
        <w:tblLayout w:type="fixed"/>
        <w:tblCellMar>
          <w:top w:w="0" w:type="dxa"/>
          <w:left w:w="108" w:type="dxa"/>
          <w:bottom w:w="0" w:type="dxa"/>
          <w:right w:w="108" w:type="dxa"/>
        </w:tblCellMar>
      </w:tblPr>
      <w:tblGrid>
        <w:gridCol w:w="850"/>
        <w:gridCol w:w="3597"/>
        <w:gridCol w:w="1276"/>
        <w:gridCol w:w="1222"/>
        <w:gridCol w:w="1134"/>
        <w:gridCol w:w="1418"/>
      </w:tblGrid>
      <w:tr>
        <w:tblPrEx>
          <w:tblCellMar>
            <w:top w:w="0" w:type="dxa"/>
            <w:left w:w="108" w:type="dxa"/>
            <w:bottom w:w="0" w:type="dxa"/>
            <w:right w:w="108" w:type="dxa"/>
          </w:tblCellMar>
        </w:tblPrEx>
        <w:trPr>
          <w:cantSplit/>
          <w:trHeight w:val="312" w:hRule="atLeast"/>
          <w:tblHeader/>
          <w:jc w:val="center"/>
        </w:trPr>
        <w:tc>
          <w:tcPr>
            <w:tcW w:w="9497" w:type="dxa"/>
            <w:gridSpan w:val="6"/>
            <w:tcBorders>
              <w:bottom w:val="single" w:color="auto" w:sz="4" w:space="0"/>
            </w:tcBorders>
            <w:shd w:val="clear" w:color="auto" w:fill="auto"/>
            <w:noWrap/>
            <w:vAlign w:val="center"/>
          </w:tcPr>
          <w:p>
            <w:pPr>
              <w:widowControl/>
              <w:jc w:val="left"/>
              <w:rPr>
                <w:rFonts w:ascii="黑体" w:hAnsi="黑体" w:eastAsia="黑体" w:cs="宋体"/>
                <w:b/>
                <w:bCs/>
                <w:color w:val="000000"/>
                <w:kern w:val="0"/>
                <w:szCs w:val="21"/>
              </w:rPr>
            </w:pPr>
            <w:r>
              <w:rPr>
                <w:rFonts w:ascii="宋体" w:hAnsi="宋体"/>
                <w:sz w:val="28"/>
              </w:rPr>
              <w:t>617008唐山市医学科学情报站</w:t>
            </w:r>
          </w:p>
        </w:tc>
      </w:tr>
      <w:tr>
        <w:tblPrEx>
          <w:tblCellMar>
            <w:top w:w="0" w:type="dxa"/>
            <w:left w:w="108" w:type="dxa"/>
            <w:bottom w:w="0" w:type="dxa"/>
            <w:right w:w="108" w:type="dxa"/>
          </w:tblCellMar>
        </w:tblPrEx>
        <w:trPr>
          <w:cantSplit/>
          <w:trHeight w:val="312" w:hRule="atLeast"/>
          <w:tblHeader/>
          <w:jc w:val="center"/>
        </w:trPr>
        <w:tc>
          <w:tcPr>
            <w:tcW w:w="85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序号</w:t>
            </w:r>
          </w:p>
        </w:tc>
        <w:tc>
          <w:tcPr>
            <w:tcW w:w="359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   目</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计量单位</w:t>
            </w:r>
          </w:p>
        </w:tc>
        <w:tc>
          <w:tcPr>
            <w:tcW w:w="12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现有数</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核定数</w:t>
            </w:r>
          </w:p>
        </w:tc>
        <w:tc>
          <w:tcPr>
            <w:tcW w:w="14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备  注</w:t>
            </w:r>
          </w:p>
        </w:tc>
      </w:tr>
      <w:tr>
        <w:tblPrEx>
          <w:tblCellMar>
            <w:top w:w="0" w:type="dxa"/>
            <w:left w:w="108" w:type="dxa"/>
            <w:bottom w:w="0" w:type="dxa"/>
            <w:right w:w="108" w:type="dxa"/>
          </w:tblCellMar>
        </w:tblPrEx>
        <w:trPr>
          <w:cantSplit/>
          <w:trHeight w:val="312" w:hRule="atLeast"/>
          <w:tblHeader/>
          <w:jc w:val="center"/>
        </w:trPr>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35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CellMar>
            <w:top w:w="0" w:type="dxa"/>
            <w:left w:w="108" w:type="dxa"/>
            <w:bottom w:w="0" w:type="dxa"/>
            <w:right w:w="108" w:type="dxa"/>
          </w:tblCellMar>
        </w:tblPrEx>
        <w:trPr>
          <w:cantSplit/>
          <w:trHeight w:val="312" w:hRule="atLeast"/>
          <w:tblHeader/>
          <w:jc w:val="center"/>
        </w:trPr>
        <w:tc>
          <w:tcPr>
            <w:tcW w:w="8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359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单位性质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事业单位</w:t>
            </w: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单位内设机构数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编制人数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在职实有人数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其中：在职正省级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在职副省级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在职正厅级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在职副厅级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在职正处级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在职副处级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在职其他</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非在职人数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待分流</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分流学习</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病休</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提前离岗</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离休实有人数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退休实有人数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实有编外人员</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其中：劳务派遣</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其中：人事代理</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其中：其他编外人员</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车辆编制数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实有车辆数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小轿车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越野车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旅行车（中）</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旅行车（小）</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其他</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办公使用面积</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平方米</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bl>
    <w:p>
      <w:pPr>
        <w:spacing w:line="360" w:lineRule="auto"/>
        <w:jc w:val="center"/>
        <w:rPr>
          <w:rFonts w:ascii="宋体" w:hAnsi="宋体" w:eastAsia="宋体"/>
          <w:b/>
          <w:color w:val="000000"/>
          <w:sz w:val="44"/>
        </w:rPr>
      </w:pPr>
    </w:p>
    <w:p>
      <w:pPr>
        <w:spacing w:line="360" w:lineRule="auto"/>
        <w:jc w:val="center"/>
        <w:rPr>
          <w:rFonts w:ascii="宋体" w:hAnsi="宋体" w:eastAsia="宋体"/>
          <w:b/>
          <w:color w:val="000000"/>
          <w:sz w:val="44"/>
        </w:rPr>
      </w:pPr>
    </w:p>
    <w:p>
      <w:pPr>
        <w:spacing w:line="360" w:lineRule="auto"/>
        <w:jc w:val="center"/>
        <w:rPr>
          <w:rFonts w:ascii="宋体" w:hAnsi="宋体" w:eastAsia="宋体"/>
          <w:b/>
          <w:color w:val="000000"/>
          <w:sz w:val="44"/>
        </w:rPr>
      </w:pPr>
      <w:r>
        <w:rPr>
          <w:rFonts w:ascii="宋体" w:hAnsi="宋体" w:eastAsia="宋体"/>
          <w:b/>
          <w:color w:val="000000"/>
          <w:sz w:val="44"/>
        </w:rPr>
        <w:t>唐山市</w:t>
      </w:r>
      <w:r>
        <w:rPr>
          <w:rFonts w:hint="eastAsia" w:ascii="宋体" w:hAnsi="宋体" w:eastAsia="宋体"/>
          <w:b/>
          <w:color w:val="000000"/>
          <w:sz w:val="44"/>
          <w:lang w:val="en-US" w:eastAsia="zh-CN"/>
        </w:rPr>
        <w:t>医学科学情报站</w:t>
      </w:r>
      <w:r>
        <w:rPr>
          <w:rFonts w:ascii="宋体" w:hAnsi="宋体" w:eastAsia="宋体"/>
          <w:b/>
          <w:color w:val="000000"/>
          <w:sz w:val="44"/>
        </w:rPr>
        <w:t>收支预算说明</w:t>
      </w:r>
    </w:p>
    <w:p>
      <w:pPr>
        <w:spacing w:line="480" w:lineRule="auto"/>
        <w:jc w:val="left"/>
        <w:rPr>
          <w:rFonts w:ascii="宋体" w:hAnsi="宋体" w:eastAsia="宋体"/>
          <w:b/>
          <w:color w:val="000000"/>
          <w:sz w:val="28"/>
        </w:rPr>
      </w:pPr>
      <w:r>
        <w:rPr>
          <w:rFonts w:ascii="宋体" w:hAnsi="宋体" w:eastAsia="宋体"/>
          <w:b/>
          <w:color w:val="000000"/>
          <w:sz w:val="28"/>
        </w:rPr>
        <w:t>一、收入预算说明</w:t>
      </w:r>
    </w:p>
    <w:p/>
    <w:p>
      <w:pPr>
        <w:spacing w:line="360" w:lineRule="auto"/>
        <w:jc w:val="left"/>
        <w:rPr>
          <w:rFonts w:ascii="宋体" w:hAnsi="宋体" w:eastAsia="宋体"/>
          <w:b/>
          <w:color w:val="000000"/>
          <w:sz w:val="28"/>
        </w:rPr>
      </w:pPr>
      <w:r>
        <w:rPr>
          <w:rFonts w:ascii="宋体" w:hAnsi="宋体" w:eastAsia="宋体"/>
          <w:b/>
          <w:color w:val="000000"/>
          <w:sz w:val="28"/>
        </w:rPr>
        <w:t>二、支出预算说明</w:t>
      </w:r>
    </w:p>
    <w:p>
      <w:pPr>
        <w:spacing w:line="480" w:lineRule="auto"/>
        <w:jc w:val="left"/>
        <w:rPr>
          <w:rFonts w:ascii="宋体" w:hAnsi="宋体" w:eastAsia="宋体"/>
          <w:b/>
          <w:color w:val="000000"/>
          <w:sz w:val="28"/>
        </w:rPr>
      </w:pPr>
      <w:r>
        <w:rPr>
          <w:rFonts w:ascii="宋体" w:hAnsi="宋体" w:eastAsia="宋体"/>
          <w:b/>
          <w:color w:val="000000"/>
          <w:sz w:val="28"/>
        </w:rPr>
        <w:t>（一）专项公用经费项目安排说明</w:t>
      </w:r>
    </w:p>
    <w:p>
      <w:pPr>
        <w:spacing w:line="360" w:lineRule="auto"/>
        <w:jc w:val="left"/>
        <w:rPr>
          <w:rFonts w:ascii="宋体" w:hAnsi="宋体" w:eastAsia="宋体"/>
          <w:b/>
          <w:color w:val="000000"/>
          <w:sz w:val="28"/>
        </w:rPr>
        <w:sectPr>
          <w:headerReference r:id="rId6" w:type="default"/>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单位专项公用经费安排说明</w:t>
      </w:r>
    </w:p>
    <w:tbl>
      <w:tblPr>
        <w:tblStyle w:val="4"/>
        <w:tblW w:w="14174" w:type="dxa"/>
        <w:jc w:val="center"/>
        <w:tblLayout w:type="fixed"/>
        <w:tblCellMar>
          <w:top w:w="57" w:type="dxa"/>
          <w:left w:w="85" w:type="dxa"/>
          <w:bottom w:w="57" w:type="dxa"/>
          <w:right w:w="85" w:type="dxa"/>
        </w:tblCellMar>
      </w:tblPr>
      <w:tblGrid>
        <w:gridCol w:w="1809"/>
        <w:gridCol w:w="2268"/>
        <w:gridCol w:w="1418"/>
        <w:gridCol w:w="247"/>
        <w:gridCol w:w="8432"/>
      </w:tblGrid>
      <w:tr>
        <w:trPr>
          <w:cantSplit/>
          <w:trHeight w:val="312" w:hRule="atLeast"/>
          <w:tblHeader/>
          <w:jc w:val="center"/>
        </w:trPr>
        <w:tc>
          <w:tcPr>
            <w:tcW w:w="5742" w:type="dxa"/>
            <w:gridSpan w:val="4"/>
            <w:tcBorders>
              <w:bottom w:val="single" w:color="auto" w:sz="4" w:space="0"/>
            </w:tcBorders>
            <w:shd w:val="clear" w:color="auto" w:fill="auto"/>
            <w:noWrap/>
            <w:vAlign w:val="center"/>
          </w:tcPr>
          <w:p>
            <w:pPr>
              <w:widowControl/>
              <w:jc w:val="left"/>
              <w:rPr>
                <w:rFonts w:ascii="黑体" w:hAnsi="黑体" w:eastAsia="黑体" w:cs="宋体"/>
                <w:b/>
                <w:color w:val="000000"/>
                <w:kern w:val="0"/>
                <w:szCs w:val="21"/>
              </w:rPr>
            </w:pPr>
            <w:r>
              <w:rPr>
                <w:rFonts w:ascii="宋体" w:hAnsi="宋体"/>
                <w:sz w:val="28"/>
              </w:rPr>
              <w:t>617008唐山市医学科学情报站</w:t>
            </w:r>
          </w:p>
        </w:tc>
        <w:tc>
          <w:tcPr>
            <w:tcW w:w="8432" w:type="dxa"/>
            <w:tcBorders>
              <w:bottom w:val="single" w:color="auto" w:sz="4" w:space="0"/>
            </w:tcBorders>
            <w:shd w:val="clear" w:color="auto" w:fill="auto"/>
            <w:noWrap/>
            <w:vAlign w:val="center"/>
          </w:tcPr>
          <w:p>
            <w:pPr>
              <w:widowControl/>
              <w:jc w:val="right"/>
              <w:rPr>
                <w:rFonts w:ascii="黑体" w:hAnsi="黑体" w:eastAsia="黑体" w:cs="宋体"/>
                <w:b/>
                <w:color w:val="000000"/>
                <w:kern w:val="0"/>
                <w:szCs w:val="21"/>
              </w:rPr>
            </w:pPr>
            <w:r>
              <w:rPr>
                <w:rFonts w:ascii="宋体" w:hAnsi="宋体"/>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jc w:val="center"/>
        </w:trPr>
        <w:tc>
          <w:tcPr>
            <w:tcW w:w="1809"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项目编码</w:t>
            </w:r>
          </w:p>
        </w:tc>
        <w:tc>
          <w:tcPr>
            <w:tcW w:w="2268"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项目名称</w:t>
            </w:r>
          </w:p>
        </w:tc>
        <w:tc>
          <w:tcPr>
            <w:tcW w:w="1418"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项目总计</w:t>
            </w:r>
          </w:p>
        </w:tc>
        <w:tc>
          <w:tcPr>
            <w:tcW w:w="8679" w:type="dxa"/>
            <w:gridSpan w:val="2"/>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项目文本说明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jc w:val="center"/>
        </w:trPr>
        <w:tc>
          <w:tcPr>
            <w:tcW w:w="1809" w:type="dxa"/>
            <w:vMerge w:val="continue"/>
            <w:vAlign w:val="center"/>
          </w:tcPr>
          <w:p>
            <w:pPr>
              <w:widowControl/>
              <w:jc w:val="center"/>
              <w:rPr>
                <w:rFonts w:ascii="黑体" w:hAnsi="黑体" w:eastAsia="黑体" w:cs="宋体"/>
                <w:b/>
                <w:bCs/>
                <w:color w:val="000000"/>
                <w:kern w:val="0"/>
                <w:szCs w:val="21"/>
              </w:rPr>
            </w:pPr>
          </w:p>
        </w:tc>
        <w:tc>
          <w:tcPr>
            <w:tcW w:w="2268" w:type="dxa"/>
            <w:vMerge w:val="continue"/>
            <w:vAlign w:val="center"/>
          </w:tcPr>
          <w:p>
            <w:pPr>
              <w:widowControl/>
              <w:jc w:val="center"/>
              <w:rPr>
                <w:rFonts w:ascii="黑体" w:hAnsi="黑体" w:eastAsia="黑体" w:cs="宋体"/>
                <w:b/>
                <w:bCs/>
                <w:color w:val="000000"/>
                <w:kern w:val="0"/>
                <w:szCs w:val="21"/>
              </w:rPr>
            </w:pPr>
          </w:p>
        </w:tc>
        <w:tc>
          <w:tcPr>
            <w:tcW w:w="1418" w:type="dxa"/>
            <w:vMerge w:val="continue"/>
            <w:vAlign w:val="center"/>
          </w:tcPr>
          <w:p>
            <w:pPr>
              <w:widowControl/>
              <w:jc w:val="center"/>
              <w:rPr>
                <w:rFonts w:ascii="黑体" w:hAnsi="黑体" w:eastAsia="黑体" w:cs="宋体"/>
                <w:b/>
                <w:bCs/>
                <w:color w:val="000000"/>
                <w:kern w:val="0"/>
                <w:szCs w:val="21"/>
              </w:rPr>
            </w:pPr>
          </w:p>
        </w:tc>
        <w:tc>
          <w:tcPr>
            <w:tcW w:w="8679" w:type="dxa"/>
            <w:gridSpan w:val="2"/>
            <w:vMerge w:val="continue"/>
            <w:vAlign w:val="center"/>
          </w:tcPr>
          <w:p>
            <w:pPr>
              <w:widowControl/>
              <w:jc w:val="center"/>
              <w:rPr>
                <w:rFonts w:ascii="黑体" w:hAnsi="黑体" w:eastAsia="黑体" w:cs="宋体"/>
                <w:b/>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jc w:val="center"/>
        </w:trPr>
        <w:tc>
          <w:tcPr>
            <w:tcW w:w="1809" w:type="dxa"/>
            <w:vMerge w:val="continue"/>
            <w:shd w:val="clear" w:color="auto" w:fill="auto"/>
            <w:vAlign w:val="center"/>
          </w:tcPr>
          <w:p>
            <w:pPr>
              <w:widowControl/>
              <w:jc w:val="left"/>
              <w:rPr>
                <w:rFonts w:ascii="宋体" w:hAnsi="宋体" w:cs="宋体"/>
                <w:color w:val="000000"/>
                <w:kern w:val="0"/>
                <w:szCs w:val="21"/>
              </w:rPr>
            </w:pPr>
          </w:p>
        </w:tc>
        <w:tc>
          <w:tcPr>
            <w:tcW w:w="2268" w:type="dxa"/>
            <w:vMerge w:val="continue"/>
            <w:shd w:val="clear" w:color="auto" w:fill="auto"/>
            <w:vAlign w:val="center"/>
          </w:tcPr>
          <w:p>
            <w:pPr>
              <w:widowControl/>
              <w:jc w:val="left"/>
              <w:rPr>
                <w:rFonts w:ascii="宋体" w:hAnsi="宋体" w:cs="宋体"/>
                <w:color w:val="000000"/>
                <w:kern w:val="0"/>
                <w:szCs w:val="21"/>
              </w:rPr>
            </w:pPr>
          </w:p>
        </w:tc>
        <w:tc>
          <w:tcPr>
            <w:tcW w:w="1418" w:type="dxa"/>
            <w:vMerge w:val="continue"/>
            <w:shd w:val="clear" w:color="auto" w:fill="auto"/>
            <w:vAlign w:val="center"/>
          </w:tcPr>
          <w:p>
            <w:pPr>
              <w:widowControl/>
              <w:jc w:val="right"/>
              <w:rPr>
                <w:rFonts w:ascii="宋体" w:hAnsi="宋体" w:cs="宋体"/>
                <w:color w:val="000000"/>
                <w:kern w:val="0"/>
                <w:szCs w:val="21"/>
              </w:rPr>
            </w:pPr>
          </w:p>
        </w:tc>
        <w:tc>
          <w:tcPr>
            <w:tcW w:w="8679" w:type="dxa"/>
            <w:gridSpan w:val="2"/>
            <w:vMerge w:val="continue"/>
            <w:shd w:val="clear" w:color="auto" w:fill="auto"/>
            <w:vAlign w:val="center"/>
          </w:tcPr>
          <w:p>
            <w:pPr>
              <w:widowControl/>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jc w:val="center"/>
        </w:trPr>
        <w:tc>
          <w:tcPr>
            <w:tcW w:w="1809" w:type="dxa"/>
            <w:shd w:val="clear" w:color="auto" w:fill="auto"/>
            <w:vAlign w:val="center"/>
          </w:tcPr>
          <w:p>
            <w:pPr>
              <w:widowControl/>
              <w:jc w:val="left"/>
              <w:rPr>
                <w:rFonts w:ascii="宋体" w:hAnsi="宋体" w:cs="宋体"/>
                <w:color w:val="000000"/>
                <w:kern w:val="0"/>
                <w:szCs w:val="21"/>
              </w:rPr>
            </w:pP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合计</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0.75</w:t>
            </w:r>
          </w:p>
        </w:tc>
        <w:tc>
          <w:tcPr>
            <w:tcW w:w="8679" w:type="dxa"/>
            <w:gridSpan w:val="2"/>
            <w:shd w:val="clear" w:color="auto" w:fill="auto"/>
            <w:vAlign w:val="center"/>
          </w:tcPr>
          <w:p>
            <w:pPr>
              <w:widowControl/>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61700819GGZ0005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计算机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0.45</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用于日常办公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61700819GGZ0006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多功能一体机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0.30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用于日常办公。</w:t>
            </w:r>
          </w:p>
        </w:tc>
      </w:tr>
    </w:tbl>
    <w:p>
      <w:pPr>
        <w:spacing w:line="360" w:lineRule="auto"/>
        <w:jc w:val="left"/>
        <w:rPr>
          <w:rFonts w:ascii="宋体" w:hAnsi="宋体" w:eastAsia="宋体"/>
          <w:b/>
          <w:color w:val="000000"/>
          <w:sz w:val="28"/>
        </w:rPr>
        <w:sectPr>
          <w:headerReference r:id="rId7" w:type="default"/>
          <w:pgSz w:w="16838" w:h="11906" w:orient="landscape"/>
          <w:pgMar w:top="1800" w:right="1440" w:bottom="1800" w:left="1440" w:header="851" w:footer="992" w:gutter="0"/>
          <w:cols w:space="425" w:num="1"/>
          <w:docGrid w:type="lines" w:linePitch="312" w:charSpace="0"/>
        </w:sectPr>
      </w:pPr>
    </w:p>
    <w:p>
      <w:pPr>
        <w:spacing w:line="48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r>
        <w:rPr>
          <w:rFonts w:ascii="宋体" w:hAnsi="宋体" w:eastAsia="宋体"/>
          <w:b/>
          <w:color w:val="000000"/>
          <w:sz w:val="28"/>
        </w:rPr>
        <w:t>（二）专项项目安排</w:t>
      </w:r>
      <w:bookmarkStart w:id="1" w:name="_GoBack"/>
      <w:bookmarkEnd w:id="1"/>
      <w:r>
        <w:rPr>
          <w:rFonts w:ascii="宋体" w:hAnsi="宋体" w:eastAsia="宋体"/>
          <w:b/>
          <w:color w:val="000000"/>
          <w:sz w:val="28"/>
        </w:rPr>
        <w:t>说明</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4"/>
      <w:numFmt w:val="decimal"/>
      <w:lvlText w:val="%1、"/>
      <w:lvlJc w:val="left"/>
      <w:pPr>
        <w:tabs>
          <w:tab w:val="left" w:pos="780"/>
        </w:tabs>
        <w:ind w:left="780" w:hanging="360"/>
      </w:pPr>
      <w:rPr>
        <w:rFonts w:ascii="宋体" w:hAnsi="宋体" w:eastAsia="宋体"/>
        <w:b w:val="0"/>
        <w:i w:val="0"/>
        <w:strike w:val="0"/>
        <w:position w:val="0"/>
        <w:sz w:val="21"/>
        <w:u w:val="none"/>
        <w:shd w:val="clear" w:color="auto" w:fil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c2N2E1ZjUyY2M5NTg0OWEwYTMyMDA5MDFhNTUzOGYifQ=="/>
  </w:docVars>
  <w:rsids>
    <w:rsidRoot w:val="004363A4"/>
    <w:rsid w:val="001B3169"/>
    <w:rsid w:val="004363A4"/>
    <w:rsid w:val="00A16DED"/>
    <w:rsid w:val="00E85310"/>
    <w:rsid w:val="0FD11F2D"/>
    <w:rsid w:val="21FD079F"/>
    <w:rsid w:val="2FFC0C6B"/>
    <w:rsid w:val="3BB85A64"/>
    <w:rsid w:val="4559691D"/>
    <w:rsid w:val="49033CD2"/>
    <w:rsid w:val="4CF357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header"/>
    <w:basedOn w:val="1"/>
    <w:unhideWhenUsed/>
    <w:uiPriority w:val="99"/>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customStyle="1" w:styleId="6">
    <w:name w:val="[Normal]"/>
    <w:qFormat/>
    <w:uiPriority w:val="0"/>
    <w:rPr>
      <w:rFonts w:ascii="宋体" w:hAnsi="宋体" w:eastAsia="宋体" w:cs="Times New Roman"/>
      <w:sz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18</Pages>
  <Words>3342</Words>
  <Characters>4570</Characters>
  <Lines>49</Lines>
  <Paragraphs>13</Paragraphs>
  <TotalTime>8</TotalTime>
  <ScaleCrop>false</ScaleCrop>
  <LinksUpToDate>false</LinksUpToDate>
  <CharactersWithSpaces>4842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WPS_1660442750</cp:lastModifiedBy>
  <cp:lastPrinted>2023-09-20T08:09:00Z</cp:lastPrinted>
  <dcterms:modified xsi:type="dcterms:W3CDTF">2023-09-20T09:52:12Z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836FCC80FE4B45288256EB6D06C70642_12</vt:lpwstr>
  </property>
</Properties>
</file>