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58"/>
      <w:r>
        <w:t>一十八、唐山市计划生育协会秘书处收支预算安排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唐山市计划生育协会秘书处职责任务与目标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3840" w:firstLineChars="120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1、贯彻落实国家人口与计划生育工作的方针、政策；组织起草人口与计划生育地方性法规实施细则；协助有关部门制定相关社会经济政策，推动人口与计划生育工作的综合治理。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2、根据市政府确定的人口控制目标，拟定全市计划生育中长期规划和年度计划；拟定全市计划生育事业发展计划；负责全市计划生育统计工作，组织实施计划生育抽样调查，参与全市人口统计数据的分析研究；负责全市人口与计划生育有限目标管理责任制的实施和考核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3、组织实施有关人口与计划生育问题的总体规划和综合性、前瞻性研究。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4、拟定人口与计划生育宣传教育工作规划，组织并开展全民性人口与计划生育宣传教育。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5、综合管理计划生育技术服务工作；围绕生育、节育、不育制定生殖保健服务规划与规范并组织实施；配合卫生部门做好提高出生人口素质工作；指导和监督计划生育技术和药具发放工作。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6、编报市级计划生育事业费和基本建设支出的预算、决算；管理机关及直属单位财务和国有资产。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7、制定全市计划生育系统干部队伍建设和教育培训规划并组织实施。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8、指导各县（市）区对流动人口、城市和城镇特殊人群计划生育管理与服务工作。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9、承办市计划生育领导小组的日常工作。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10、指导有关人口与计划生育社会团体的工作。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11、承办市政府交办的其他事项。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</w:p>
    <w:p/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3040" w:firstLineChars="95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主要任务及目标规划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>贯彻落实国家计划生育方针、政策，发动会员带头实行计划生育。指导基层协会工作，组织理事会员向群众宣传人口和计划生育政策及科学理论，传播生殖健康等科学技术知识。协调社会力量，向群众提供生产、生活、生育服务，帮助群众解决实行计划生育的实际困难和后顾之忧。履行民主参与和民主监督职能，反映群众的意愿与要求，依法维护群众的合法权益。开展国内外交流与合作。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617027唐山市计划生育协会秘书处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44.51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44.51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44.51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44.51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38.65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37.82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0.83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5.86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5.86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617027唐山市计划生育协会秘书处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38.65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38.65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37.82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37.82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12.48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12.48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12.57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1.88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0.62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8.90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8.90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4.71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4.71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1.65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0.12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0.82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0.53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0.22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617027唐山市计划生育协会秘书处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4.77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4.77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1.42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1.42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617027唐山市计划生育协会秘书处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617027唐山市计划生育协会秘书处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参公单位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正科级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617027唐山市计划生育协会秘书处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参公单位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唐山市计划生育协会秘书处收支预算说明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06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2019-02-12T03:00:26Z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