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Toc534399044"/>
      <w:r>
        <w:t>四、唐山市卫生干部进修学校收支预算安排</w:t>
      </w:r>
      <w:bookmarkEnd w:id="0"/>
    </w:p>
    <w:p>
      <w:pPr>
        <w:jc w:val="center"/>
        <w:rPr>
          <w:rFonts w:ascii="宋体" w:hAnsi="宋体" w:eastAsia="宋体"/>
          <w:b/>
          <w:color w:val="000000"/>
          <w:sz w:val="44"/>
        </w:rPr>
      </w:pPr>
      <w:r>
        <w:rPr>
          <w:rFonts w:hint="eastAsia" w:ascii="宋体" w:hAnsi="宋体" w:eastAsia="宋体"/>
          <w:b/>
          <w:color w:val="000000"/>
          <w:sz w:val="44"/>
        </w:rPr>
        <w:t>唐山市卫生干部进修学校职责任务与目标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一、主要职责</w:t>
      </w:r>
    </w:p>
    <w:p>
      <w:pPr>
        <w:spacing w:line="360" w:lineRule="auto"/>
        <w:ind w:firstLine="2720" w:firstLineChars="850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主要职责</w:t>
      </w:r>
    </w:p>
    <w:p>
      <w:pPr>
        <w:spacing w:line="360" w:lineRule="auto"/>
        <w:ind w:firstLine="420" w:firstLineChars="200"/>
      </w:pPr>
      <w:r>
        <w:rPr>
          <w:rFonts w:hint="eastAsia"/>
        </w:rPr>
        <w:t>1、负责全市基层卫生人员的学历教育工作</w:t>
      </w:r>
    </w:p>
    <w:p>
      <w:pPr>
        <w:spacing w:line="360" w:lineRule="auto"/>
        <w:ind w:firstLine="630" w:firstLineChars="300"/>
      </w:pPr>
      <w:r>
        <w:rPr>
          <w:rFonts w:hint="eastAsia"/>
        </w:rPr>
        <w:t>按省卫</w:t>
      </w:r>
      <w:r>
        <w:rPr>
          <w:rFonts w:hint="eastAsia"/>
          <w:lang w:eastAsia="zh-CN"/>
        </w:rPr>
        <w:t>健</w:t>
      </w:r>
      <w:r>
        <w:rPr>
          <w:rFonts w:hint="eastAsia"/>
        </w:rPr>
        <w:t>委的统一规划,具体负责县市区乡镇卫生院的基层卫生人员的大专学历教育。为了发挥我校人力物力资源，培养县、乡镇、农村卫生院护理人才，增加公共积累,我们把培养学生思想道德和业务素质当作头等大事来做，把学生管理和思想政治工作列入重要日程，我们组织革命传统教育、征文比赛、向残疾人送温暖等，引导学生树立社会主义人生观、价值观、荣辱观。组织业务能手小竞赛，提升学员的业务素质，为医疗卫生事业输送高素质人才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2、执业医师、执业护士资格考试工作</w:t>
      </w:r>
    </w:p>
    <w:p>
      <w:pPr>
        <w:spacing w:line="360" w:lineRule="auto"/>
        <w:ind w:firstLine="420" w:firstLineChars="200"/>
      </w:pPr>
      <w:r>
        <w:rPr>
          <w:rFonts w:hint="eastAsia"/>
        </w:rPr>
        <w:t>执业医师资格报名考生逐年上升，在考生多、时间紧、任务重的情况下，我们在卫</w:t>
      </w:r>
      <w:r>
        <w:rPr>
          <w:rFonts w:hint="eastAsia"/>
          <w:lang w:val="en-US" w:eastAsia="zh-CN"/>
        </w:rPr>
        <w:t>健委</w:t>
      </w:r>
      <w:r>
        <w:rPr>
          <w:rFonts w:hint="eastAsia"/>
        </w:rPr>
        <w:t>的领导下，我们本着对考生负责的态度和公平、公正、公开的原则，对考试做了充分的准备工作，各个环节做到了组织严密、标准规范，管理到位，从而是全市的医师资格技能考试没有出现过任何差错。</w:t>
      </w:r>
    </w:p>
    <w:p>
      <w:pPr>
        <w:spacing w:line="360" w:lineRule="auto"/>
        <w:ind w:firstLine="315" w:firstLineChars="150"/>
      </w:pPr>
      <w:r>
        <w:rPr>
          <w:rFonts w:hint="eastAsia"/>
        </w:rPr>
        <w:t xml:space="preserve"> </w:t>
      </w:r>
    </w:p>
    <w:p>
      <w:pPr>
        <w:spacing w:line="360" w:lineRule="auto"/>
        <w:ind w:firstLine="420" w:firstLineChars="200"/>
      </w:pP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二、主要任务及目标规划</w:t>
      </w:r>
    </w:p>
    <w:p>
      <w:pPr>
        <w:spacing w:line="360" w:lineRule="auto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 xml:space="preserve">                 主要任务及目标规划</w:t>
      </w:r>
    </w:p>
    <w:p>
      <w:pPr>
        <w:spacing w:line="360" w:lineRule="auto"/>
        <w:ind w:firstLine="420" w:firstLineChars="200"/>
      </w:pPr>
      <w:r>
        <w:rPr>
          <w:rFonts w:hint="eastAsia"/>
        </w:rPr>
        <w:t>今年的工作重点是考试培训中心的软硬件建设，迎接201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年的执业护士资格考试、执业医师资格考试及实践技能考试工作，负责</w:t>
      </w:r>
      <w:r>
        <w:rPr>
          <w:rFonts w:hint="eastAsia"/>
          <w:lang w:eastAsia="zh-CN"/>
        </w:rPr>
        <w:t>唐山市</w:t>
      </w:r>
      <w:bookmarkStart w:id="1" w:name="_GoBack"/>
      <w:bookmarkEnd w:id="1"/>
      <w:r>
        <w:rPr>
          <w:rFonts w:hint="eastAsia"/>
        </w:rPr>
        <w:t>卫生</w:t>
      </w:r>
      <w:r>
        <w:rPr>
          <w:rFonts w:hint="eastAsia"/>
          <w:lang w:eastAsia="zh-CN"/>
        </w:rPr>
        <w:t>健康</w:t>
      </w:r>
      <w:r>
        <w:rPr>
          <w:rFonts w:hint="eastAsia"/>
        </w:rPr>
        <w:t>委</w:t>
      </w:r>
      <w:r>
        <w:rPr>
          <w:rFonts w:hint="eastAsia"/>
          <w:lang w:eastAsia="zh-CN"/>
        </w:rPr>
        <w:t>员会</w:t>
      </w:r>
      <w:r>
        <w:rPr>
          <w:rFonts w:hint="eastAsia"/>
        </w:rPr>
        <w:t>委托或交办的行业相关专业技术人员继续教育及上岗、换证前培训工作，业务培训任务，接受河北省卫计委考试培训中心的业务部署和工作指导。</w:t>
      </w:r>
    </w:p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收支预算总表</w:t>
      </w:r>
    </w:p>
    <w:tbl>
      <w:tblPr>
        <w:tblStyle w:val="5"/>
        <w:tblW w:w="9379" w:type="dxa"/>
        <w:jc w:val="center"/>
        <w:tblInd w:w="-40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4961"/>
        <w:gridCol w:w="30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35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8"/>
              </w:rPr>
              <w:t>617007唐山市卫生干部进修学校</w:t>
            </w:r>
          </w:p>
        </w:tc>
        <w:tc>
          <w:tcPr>
            <w:tcW w:w="302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项目代码</w:t>
            </w: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预算收支项目</w:t>
            </w:r>
          </w:p>
        </w:tc>
        <w:tc>
          <w:tcPr>
            <w:tcW w:w="30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预算金额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　　　　　　　　预算收入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278.42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一般公共预算拨款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278.42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其中：财政拨款（补助）收入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278.42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行政事业性收费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罚没收入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专项收入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国有资源（资产）有偿使用收入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国有资本经营收入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政府住房基金收入（原债务收入）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上级转移支付资金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 其中：一般性转移支付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      专项转移支付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其他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政府性基金预算拨款安排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国有资本经营预算收入安排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其他来源收入安排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其中：事业收入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上级补助收入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附属单位上缴收入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用事业基金弥补收支差额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其他收入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纳入财政专户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高中及其以上教育收费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　　　　　　　　预算支出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278.42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人员经费支出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233.39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其中：工资福利支出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205.01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对个人和家庭补助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28.38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45.03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其中：正常公用经费支出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41.51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专项公用经费支出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3.52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专项项目支出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其他支出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结    余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</w:tbl>
    <w:p>
      <w:pPr>
        <w:spacing w:line="20" w:lineRule="exact"/>
        <w:jc w:val="lef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人员经费预算</w:t>
      </w:r>
    </w:p>
    <w:tbl>
      <w:tblPr>
        <w:tblStyle w:val="5"/>
        <w:tblW w:w="15599" w:type="dxa"/>
        <w:tblInd w:w="-6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1883"/>
        <w:gridCol w:w="3483"/>
        <w:gridCol w:w="1701"/>
        <w:gridCol w:w="1559"/>
        <w:gridCol w:w="1559"/>
        <w:gridCol w:w="1276"/>
        <w:gridCol w:w="1134"/>
        <w:gridCol w:w="11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tblHeader/>
        </w:trPr>
        <w:tc>
          <w:tcPr>
            <w:tcW w:w="7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617007唐山市卫生干部进修学校</w:t>
            </w:r>
          </w:p>
        </w:tc>
        <w:tc>
          <w:tcPr>
            <w:tcW w:w="835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atLeast"/>
          <w:tblHeader/>
        </w:trPr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4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83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人员经费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233.39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233.39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一、工资福利支出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205.01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205.01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1、基本工资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68.40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68.40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2、津贴补贴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12.94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12.94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1）工作津贴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2）生活补贴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3）（特殊）岗位津贴（补贴）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0.06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4）在职人员取暖补贴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9.47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9.47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5）在职人员物业服务补贴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3.05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6）规范津补贴后仍继续保留的补贴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回族补贴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职工劳模荣誉津贴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7）上述项目之外的津贴补贴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0.36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增发津补贴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女职工卫生费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0.36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30103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3、奖金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4、社会保障缴费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53.91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53.91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2080505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30108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1）机关事业单位基本养老保险缴费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24.69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24.69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2）职业年金缴费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2101102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30110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3）职工基本医疗保险缴费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8.64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8.64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2101102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4）公务员医疗补助缴费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18.69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18.69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5）事业单位失业保险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0.72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0.72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6）行政事业单位工伤保险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0.86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7）职工生育保险费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0.31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2210201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30113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14.80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14.80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54.96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54.96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1）基础性绩效工资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34.49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34.49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2）奖励性绩效工资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14.77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14.77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3）事业单位上年度12月份基本工资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5.70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5.70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7、其他工资福利支出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人事代理人员工资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人事代理人员社保缴费和住房公积金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其他编外人员工资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其他编外人员社保缴费和住房公积金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病假两个月以上期间的人员工资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教师超工作量津贴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各种加班工资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预留人员经费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二、对个人和家庭的补助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28.38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28.38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1、离休费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4.50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4.50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1）离休人员取暖补贴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1.39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1.39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2）离休人员物业服务补贴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0.55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0.55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3）其他离休费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2.56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2.56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2、退休费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21.00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1）退休人员取暖补贴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15.19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15.19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2）退休人员物业服务补贴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4.45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4.45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3）其他退休费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1.36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1.36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30304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3、抚恤金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2.81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2.81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30305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4、生活补助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5、医疗费补助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30308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6、助学金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7、奖励金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1）独生子女父母奖励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2）其他奖励金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8、其他对个人和家庭的补助支出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单位正常公用经费支出安排表</w:t>
      </w:r>
    </w:p>
    <w:tbl>
      <w:tblPr>
        <w:tblStyle w:val="5"/>
        <w:tblW w:w="1409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495"/>
        <w:gridCol w:w="2545"/>
        <w:gridCol w:w="2560"/>
        <w:gridCol w:w="992"/>
        <w:gridCol w:w="993"/>
        <w:gridCol w:w="992"/>
        <w:gridCol w:w="1134"/>
        <w:gridCol w:w="992"/>
        <w:gridCol w:w="9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tblHeader/>
        </w:trPr>
        <w:tc>
          <w:tcPr>
            <w:tcW w:w="5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617007唐山市卫生干部进修学校</w:t>
            </w:r>
          </w:p>
        </w:tc>
        <w:tc>
          <w:tcPr>
            <w:tcW w:w="8563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  <w:tblHeader/>
        </w:trPr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51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60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正常公用经费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41.51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41.51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一、定额安排公用经费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9.68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9.68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1、办公费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2、邮电费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0.68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0.68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1）单位邮电费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0.68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0.68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2）通讯费补贴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3、差旅费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2.40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2.40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4、物业管理费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30213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5、维修（护）费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1.61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1.61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6、公务用车运行维护费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3.20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7、公务交通补贴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8、其他商品和服务支出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0.16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0.16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二、按规定比例提取安排公用经费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10.13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10.13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2050803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30216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1、培训费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1.77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1.77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2、公务接待费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0.19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0.19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30228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3、工会经费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2.35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2.35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1.71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1.71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5、其他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4.11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4.11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1）离休人员福利费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0.18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0.18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2）退休人员福利费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2.66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2.66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3）离休干部公用经费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4）离休干部特需费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5）退休干部公用经费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0.72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0.72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6）退休干部特需费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0.15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三、非定额安排公用经费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21.70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21.70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30205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1、水费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3.46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3.46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30206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3.46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3.46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30208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3、取暖费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14.78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14.78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“三公”及会议培训经费预算</w:t>
      </w:r>
    </w:p>
    <w:tbl>
      <w:tblPr>
        <w:tblStyle w:val="5"/>
        <w:tblW w:w="13113" w:type="dxa"/>
        <w:jc w:val="center"/>
        <w:tblInd w:w="-4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4384"/>
        <w:gridCol w:w="809"/>
        <w:gridCol w:w="1034"/>
        <w:gridCol w:w="1701"/>
        <w:gridCol w:w="1701"/>
        <w:gridCol w:w="1559"/>
        <w:gridCol w:w="888"/>
        <w:gridCol w:w="5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9" w:type="dxa"/>
          <w:wAfter w:w="598" w:type="dxa"/>
          <w:cantSplit/>
          <w:trHeight w:val="270" w:hRule="atLeast"/>
          <w:tblHeader/>
          <w:jc w:val="center"/>
        </w:trPr>
        <w:tc>
          <w:tcPr>
            <w:tcW w:w="5193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8"/>
              </w:rPr>
              <w:t>617007唐山市卫生干部进修学校</w:t>
            </w:r>
          </w:p>
        </w:tc>
        <w:tc>
          <w:tcPr>
            <w:tcW w:w="6883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  <w:jc w:val="center"/>
        </w:trPr>
        <w:tc>
          <w:tcPr>
            <w:tcW w:w="4823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Arial"/>
                <w:b/>
                <w:bCs/>
                <w:kern w:val="0"/>
                <w:szCs w:val="21"/>
              </w:rPr>
              <w:t>支出内容</w:t>
            </w:r>
          </w:p>
        </w:tc>
        <w:tc>
          <w:tcPr>
            <w:tcW w:w="8290" w:type="dxa"/>
            <w:gridSpan w:val="7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经费来源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  <w:jc w:val="center"/>
        </w:trPr>
        <w:tc>
          <w:tcPr>
            <w:tcW w:w="482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486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其他来源收入安排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  <w:jc w:val="center"/>
        </w:trPr>
        <w:tc>
          <w:tcPr>
            <w:tcW w:w="482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48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482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一、“三公”经费小计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3.39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3.39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（二）公务用车购置及运维费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3.20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3.20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公务用车运行维护费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3.20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3.20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（三）公务接待费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0.19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0.19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三、培训费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1.77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1.77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合计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5.16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5.16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spacing w:line="20" w:lineRule="exac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单位专项公用经费支出安排表</w:t>
      </w:r>
    </w:p>
    <w:tbl>
      <w:tblPr>
        <w:tblStyle w:val="5"/>
        <w:tblW w:w="1408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6"/>
        <w:gridCol w:w="3127"/>
        <w:gridCol w:w="1231"/>
        <w:gridCol w:w="1276"/>
        <w:gridCol w:w="1417"/>
        <w:gridCol w:w="1560"/>
        <w:gridCol w:w="1134"/>
        <w:gridCol w:w="1134"/>
        <w:gridCol w:w="11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tblHeader/>
        </w:trPr>
        <w:tc>
          <w:tcPr>
            <w:tcW w:w="5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617007唐山市卫生干部进修学校</w:t>
            </w:r>
          </w:p>
        </w:tc>
        <w:tc>
          <w:tcPr>
            <w:tcW w:w="892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" w:hRule="atLeast"/>
          <w:tblHeader/>
        </w:trPr>
        <w:tc>
          <w:tcPr>
            <w:tcW w:w="2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4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76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专项公用经费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3.52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3.52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空调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打印机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0.22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临时工工资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人员经费计算依据情况表</w:t>
      </w:r>
    </w:p>
    <w:tbl>
      <w:tblPr>
        <w:tblStyle w:val="5"/>
        <w:tblW w:w="94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961"/>
        <w:gridCol w:w="992"/>
        <w:gridCol w:w="993"/>
        <w:gridCol w:w="1619"/>
        <w:gridCol w:w="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81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8"/>
              </w:rPr>
              <w:t>617007唐山市卫生干部进修学校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eastAsia="黑体"/>
                <w:b/>
              </w:rPr>
            </w:pPr>
            <w:r>
              <w:rPr>
                <w:rFonts w:hint="eastAsia" w:ascii="宋体" w:hAnsi="宋体"/>
                <w:sz w:val="24"/>
              </w:rPr>
              <w:t>单位：人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   目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现有数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核定数</w:t>
            </w:r>
          </w:p>
        </w:tc>
        <w:tc>
          <w:tcPr>
            <w:tcW w:w="1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事业单位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单位规格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正科级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编制人数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实有人数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在职实有人数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非在职人数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离休人员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退休人员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实有编外人员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其中：劳务派遣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其中：人事代理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其中：其他编外人员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遗属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预算年度全日制在校学生人数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1、本科生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2、专科生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3、高中生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4、中专生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5、体校生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6、技校生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7、函授生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8、夜大生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9、初中生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10、小学生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11、幼儿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正常公用经费计算依据情况表</w:t>
      </w:r>
    </w:p>
    <w:tbl>
      <w:tblPr>
        <w:tblStyle w:val="5"/>
        <w:tblW w:w="9497" w:type="dxa"/>
        <w:jc w:val="center"/>
        <w:tblInd w:w="1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3597"/>
        <w:gridCol w:w="1276"/>
        <w:gridCol w:w="1222"/>
        <w:gridCol w:w="1134"/>
        <w:gridCol w:w="14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9497" w:type="dxa"/>
            <w:gridSpan w:val="6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8"/>
              </w:rPr>
              <w:t>617007唐山市卫生干部进修学校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5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   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计量单位</w:t>
            </w:r>
          </w:p>
        </w:tc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现有数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核定数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事业单位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单位内设机构数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编制人数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在职实有人数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其中：在职正省级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在职副省级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在职正厅级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在职副厅级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在职正处级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在职副处级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非在职人数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待分流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分流学习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病休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提前离岗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离休实有人数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退休实有人数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实有编外人员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其中：劳务派遣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其中：人事代理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其中：其他编外人员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车辆编制数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实有车辆数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小轿车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越野车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旅行车（大）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旅行车（中）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旅行车（小）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办公使用面积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平方米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ascii="宋体" w:hAnsi="宋体" w:eastAsia="宋体"/>
          <w:b/>
          <w:color w:val="000000"/>
          <w:sz w:val="44"/>
        </w:rPr>
      </w:pPr>
      <w:r>
        <w:rPr>
          <w:rFonts w:ascii="宋体" w:hAnsi="宋体" w:eastAsia="宋体"/>
          <w:b/>
          <w:color w:val="000000"/>
          <w:sz w:val="44"/>
        </w:rPr>
        <w:t>唐山市卫生干部进修学校收支预算说明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一、收入预算说明</w:t>
      </w:r>
    </w:p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二、支出预算说明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（一）专项公用经费项目安排说明</w:t>
      </w: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单位专项公用经费安排说明</w:t>
      </w:r>
    </w:p>
    <w:tbl>
      <w:tblPr>
        <w:tblStyle w:val="5"/>
        <w:tblW w:w="14174" w:type="dxa"/>
        <w:jc w:val="center"/>
        <w:tblInd w:w="-23" w:type="dxa"/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809"/>
        <w:gridCol w:w="2268"/>
        <w:gridCol w:w="1418"/>
        <w:gridCol w:w="247"/>
        <w:gridCol w:w="8432"/>
      </w:tblGrid>
      <w:tr>
        <w:tblPrEx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742" w:type="dxa"/>
            <w:gridSpan w:val="4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8"/>
              </w:rPr>
              <w:t>617007唐山市卫生干部进修学校</w:t>
            </w:r>
          </w:p>
        </w:tc>
        <w:tc>
          <w:tcPr>
            <w:tcW w:w="843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项目编码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项目总计</w:t>
            </w:r>
          </w:p>
        </w:tc>
        <w:tc>
          <w:tcPr>
            <w:tcW w:w="8679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项目文本说明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679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79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3.52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61700719GGZ0002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空调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书记办公室的空调因购买时间长，早已报废，需购置空调一台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61700719GGZ0003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打印机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0.22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办公室打印机年久失修，已不能完成工作任务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61700719GZX0001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临时工工资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我单位与医学科学情报站合署办公，同在一个办公楼，临时工工资由我单位担付。我单位没有收入，无力支付，请求财政支援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1、传达室2人  1400元/人/月*12月*2人=33600元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2、卫生员1人  1100元/人/月*12月*1人=13200元</w:t>
            </w:r>
          </w:p>
        </w:tc>
      </w:tr>
    </w:tbl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7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（二）专项项目安排说明</w:t>
      </w:r>
    </w:p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FD079F"/>
    <w:rsid w:val="2FFC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5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若隐若现</cp:lastModifiedBy>
  <dcterms:modified xsi:type="dcterms:W3CDTF">2019-02-21T09:46:45Z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